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8C"/>
        </w:rPr>
        <w:t>End-to-End Churn Prediction &amp; Retention Optimizer</w:t>
      </w:r>
    </w:p>
    <w:p>
      <w:r>
        <w:t>AICTE | IBM SkillsBuild Data Analytics with AI Internship -- Capstone Project Report</w:t>
      </w:r>
    </w:p>
    <w:p>
      <w:r>
        <w:t>Report generated on: 23 September 2026</w:t>
      </w:r>
    </w:p>
    <w:p>
      <w:r>
        <w:br w:type="page"/>
      </w:r>
    </w:p>
    <w:p>
      <w:pPr>
        <w:pStyle w:val="Heading1"/>
      </w:pPr>
      <w:r>
        <w:t>Section 1: Data Dictionary &amp; Quality Audit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Cleaning Rule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String / Int</w:t>
            </w:r>
          </w:p>
        </w:tc>
        <w:tc>
          <w:tcPr>
            <w:tcW w:type="dxa" w:w="2160"/>
          </w:tcPr>
          <w:p>
            <w:r>
              <w:t>Unique invoice / order identifier</w:t>
            </w:r>
          </w:p>
        </w:tc>
        <w:tc>
          <w:tcPr>
            <w:tcW w:type="dxa" w:w="2160"/>
          </w:tcPr>
          <w:p>
            <w:r>
              <w:t>Cast to string; strip whitespace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 customer identifier</w:t>
            </w:r>
          </w:p>
        </w:tc>
        <w:tc>
          <w:tcPr>
            <w:tcW w:type="dxa" w:w="2160"/>
          </w:tcPr>
          <w:p>
            <w:r>
              <w:t>Drop rows with null Customer_ID</w:t>
            </w:r>
          </w:p>
        </w:tc>
      </w:tr>
      <w:tr>
        <w:tc>
          <w:tcPr>
            <w:tcW w:type="dxa" w:w="2160"/>
          </w:tcPr>
          <w:p>
            <w:r>
              <w:t>Order_Date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Date and time of the transaction</w:t>
            </w:r>
          </w:p>
        </w:tc>
        <w:tc>
          <w:tcPr>
            <w:tcW w:type="dxa" w:w="2160"/>
          </w:tcPr>
          <w:p>
            <w:r>
              <w:t>Parse with pd.to_datetime; drop unparseable rows</w:t>
            </w:r>
          </w:p>
        </w:tc>
      </w:tr>
      <w:tr>
        <w:tc>
          <w:tcPr>
            <w:tcW w:type="dxa" w:w="2160"/>
          </w:tcPr>
          <w:p>
            <w:r>
              <w:t>Product_Category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Description / category of product</w:t>
            </w:r>
          </w:p>
        </w:tc>
        <w:tc>
          <w:tcPr>
            <w:tcW w:type="dxa" w:w="2160"/>
          </w:tcPr>
          <w:p>
            <w:r>
              <w:t>Title-case normalisation; impute mode</w:t>
            </w:r>
          </w:p>
        </w:tc>
      </w:tr>
      <w:tr>
        <w:tc>
          <w:tcPr>
            <w:tcW w:type="dxa" w:w="2160"/>
          </w:tcPr>
          <w:p>
            <w:r>
              <w:t>Region / 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Geographic region of the customer</w:t>
            </w:r>
          </w:p>
        </w:tc>
        <w:tc>
          <w:tcPr>
            <w:tcW w:type="dxa" w:w="2160"/>
          </w:tcPr>
          <w:p>
            <w:r>
              <w:t>Title-case normalisation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Number of units purchased</w:t>
            </w:r>
          </w:p>
        </w:tc>
        <w:tc>
          <w:tcPr>
            <w:tcW w:type="dxa" w:w="2160"/>
          </w:tcPr>
          <w:p>
            <w:r>
              <w:t>Remove rows with Quantity &lt;= 0</w:t>
            </w:r>
          </w:p>
        </w:tc>
      </w:tr>
      <w:tr>
        <w:tc>
          <w:tcPr>
            <w:tcW w:type="dxa" w:w="2160"/>
          </w:tcPr>
          <w:p>
            <w:r>
              <w:t>Unit_Price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Price per unit (GBP)</w:t>
            </w:r>
          </w:p>
        </w:tc>
        <w:tc>
          <w:tcPr>
            <w:tcW w:type="dxa" w:w="2160"/>
          </w:tcPr>
          <w:p>
            <w:r>
              <w:t>Strip currency symbols; impute with median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Quantity x Unit_Price</w:t>
            </w:r>
          </w:p>
        </w:tc>
        <w:tc>
          <w:tcPr>
            <w:tcW w:type="dxa" w:w="2160"/>
          </w:tcPr>
          <w:p>
            <w:r>
              <w:t>Derived; clipped to &gt;= 0</w:t>
            </w:r>
          </w:p>
        </w:tc>
      </w:tr>
      <w:tr>
        <w:tc>
          <w:tcPr>
            <w:tcW w:type="dxa" w:w="2160"/>
          </w:tcPr>
          <w:p>
            <w:r>
              <w:t>Profit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Revenue x 22% margin</w:t>
            </w:r>
          </w:p>
        </w:tc>
        <w:tc>
          <w:tcPr>
            <w:tcW w:type="dxa" w:w="2160"/>
          </w:tcPr>
          <w:p>
            <w:r>
              <w:t>Derived; clipped to &gt;= 0</w:t>
            </w:r>
          </w:p>
        </w:tc>
      </w:tr>
    </w:tbl>
    <w:p/>
    <w:p>
      <w:pPr>
        <w:pStyle w:val="Heading1"/>
      </w:pPr>
      <w:r>
        <w:t>Section 2: Chart-Based Numerical Observations</w:t>
      </w:r>
    </w:p>
    <w:p>
      <w:pPr>
        <w:pStyle w:val="ListBullet"/>
      </w:pPr>
      <w:r>
        <w:t>1. Monthly Revenue Trend: Peak revenue of GBP 1,161,817 was recorded in 2011-11, versus a low of GBP 447,137 in 2011-02.</w:t>
      </w:r>
    </w:p>
    <w:p>
      <w:pPr>
        <w:pStyle w:val="ListBullet"/>
      </w:pPr>
      <w:r>
        <w:t>2. Category Performance: The top 3 product categories account for 4.6% of total revenue.</w:t>
      </w:r>
    </w:p>
    <w:p>
      <w:pPr>
        <w:pStyle w:val="ListBullet"/>
      </w:pPr>
      <w:r>
        <w:t>3. Regional Distribution: The United Kingdom constitutes over 90% of transaction volume; Germany and France are the leading international markets.</w:t>
      </w:r>
    </w:p>
    <w:p>
      <w:pPr>
        <w:pStyle w:val="ListBullet"/>
      </w:pPr>
      <w:r>
        <w:t>4. Customer Segment: The top decile of customers (by RFM score) generates approximately 46% of total monetary value.</w:t>
      </w:r>
    </w:p>
    <w:p>
      <w:pPr>
        <w:pStyle w:val="ListBullet"/>
      </w:pPr>
      <w:r>
        <w:t>5. Churn Risk Tiers: 3.5% of customers (117 of 3317) fall in the High-Risk tier.</w:t>
      </w:r>
    </w:p>
    <w:p>
      <w:pPr>
        <w:pStyle w:val="Heading1"/>
      </w:pPr>
      <w:r>
        <w:t>Section 3: Business Insights</w:t>
      </w:r>
    </w:p>
    <w:p>
      <w:pPr>
        <w:pStyle w:val="ListBullet"/>
      </w:pPr>
      <w:r>
        <w:t>RFM segmentation enables precise identification of at-risk customers before churn events occur.</w:t>
      </w:r>
    </w:p>
    <w:p>
      <w:pPr>
        <w:pStyle w:val="ListBullet"/>
      </w:pPr>
      <w:r>
        <w:t>Seasonal demand concentration in Q4 creates revenue volatility that can be mitigated through year-round engagement campaigns.</w:t>
      </w:r>
    </w:p>
    <w:p>
      <w:pPr>
        <w:pStyle w:val="ListBullet"/>
      </w:pPr>
      <w:r>
        <w:t>International customers demonstrate higher AOV, representing an under-exploited premium segment.</w:t>
      </w:r>
    </w:p>
    <w:p>
      <w:pPr>
        <w:pStyle w:val="ListBullet"/>
      </w:pPr>
      <w:r>
        <w:t>The Decision Tree model captures non-linear churn patterns, complementing the interpretability of Logistic Regression.</w:t>
      </w:r>
    </w:p>
    <w:p>
      <w:pPr>
        <w:pStyle w:val="ListBullet"/>
      </w:pPr>
      <w:r>
        <w:t>Customers with fewer than 3 orders and recency &gt; 180 days represent the highest-value intervention targets.</w:t>
      </w:r>
    </w:p>
    <w:p>
      <w:pPr>
        <w:pStyle w:val="Heading1"/>
      </w:pPr>
      <w:r>
        <w:t>Section 4: Testable Hypotheses</w:t>
      </w:r>
    </w:p>
    <w:p>
      <w:pPr>
        <w:pStyle w:val="ListBullet"/>
      </w:pPr>
      <w:r>
        <w:t>H1: Personalised discount emails sent within 7 days of last purchase may reduce churn probability for High-Risk customers.</w:t>
      </w:r>
    </w:p>
    <w:p>
      <w:pPr>
        <w:pStyle w:val="ListBullet"/>
      </w:pPr>
      <w:r>
        <w:t>H2: Increasing free-shipping thresholds might encourage Medium-Risk customers to increase order frequency.</w:t>
      </w:r>
    </w:p>
    <w:p>
      <w:pPr>
        <w:pStyle w:val="ListBullet"/>
      </w:pPr>
      <w:r>
        <w:t>H3: A loyalty points programme could reduce 90-day churn rates among first-time buyers by improving second-purchase rates.</w:t>
      </w:r>
    </w:p>
    <w:p>
      <w:pPr>
        <w:pStyle w:val="Heading1"/>
      </w:pPr>
      <w:r>
        <w:t>Section 5: Actionable Strategic Recommendations</w:t>
      </w:r>
    </w:p>
    <w:p>
      <w:pPr>
        <w:pStyle w:val="ListBullet"/>
      </w:pPr>
      <w:r>
        <w:t>1. Launch a tiered win-back campaign targeting High-Risk customers with personalised emails and a time-limited 15% discount 30 days before historical churn peaks.</w:t>
      </w:r>
    </w:p>
    <w:p>
      <w:pPr>
        <w:pStyle w:val="ListBullet"/>
      </w:pPr>
      <w:r>
        <w:t>2. Automate weekly RFM re-scoring to route newly promoted High-Risk customers into the win-back funnel without manual intervention.</w:t>
      </w:r>
    </w:p>
    <w:p>
      <w:pPr>
        <w:pStyle w:val="ListBullet"/>
      </w:pPr>
      <w:r>
        <w:t>3. Build a cross-sell recommendation engine for Medium-Risk customers to increase order frequency and monetary value, shifting them toward the Low-Risk tier.</w:t>
      </w:r>
    </w:p>
    <w:p>
      <w:pPr>
        <w:pStyle w:val="Heading1"/>
      </w:pPr>
      <w:r>
        <w:t>Appendix: KPI Summary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GBP 8,911,425.90</w:t>
            </w:r>
          </w:p>
        </w:tc>
      </w:tr>
      <w:tr>
        <w:tc>
          <w:tcPr>
            <w:tcW w:type="dxa" w:w="4320"/>
          </w:tcPr>
          <w:p>
            <w:r>
              <w:t>Total Profit</w:t>
            </w:r>
          </w:p>
        </w:tc>
        <w:tc>
          <w:tcPr>
            <w:tcW w:type="dxa" w:w="4320"/>
          </w:tcPr>
          <w:p>
            <w:r>
              <w:t>GBP 1,960,627.68</w:t>
            </w:r>
          </w:p>
        </w:tc>
      </w:tr>
      <w:tr>
        <w:tc>
          <w:tcPr>
            <w:tcW w:type="dxa" w:w="4320"/>
          </w:tcPr>
          <w:p>
            <w:r>
              <w:t>Average Order Value</w:t>
            </w:r>
          </w:p>
        </w:tc>
        <w:tc>
          <w:tcPr>
            <w:tcW w:type="dxa" w:w="4320"/>
          </w:tcPr>
          <w:p>
            <w:r>
              <w:t>GBP 480.76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18,536</w:t>
            </w:r>
          </w:p>
        </w:tc>
      </w:tr>
      <w:tr>
        <w:tc>
          <w:tcPr>
            <w:tcW w:type="dxa" w:w="4320"/>
          </w:tcPr>
          <w:p>
            <w:r>
              <w:t>Active Customers</w:t>
            </w:r>
          </w:p>
        </w:tc>
        <w:tc>
          <w:tcPr>
            <w:tcW w:type="dxa" w:w="4320"/>
          </w:tcPr>
          <w:p>
            <w:r>
              <w:t>4,339</w:t>
            </w:r>
          </w:p>
        </w:tc>
      </w:tr>
      <w:tr>
        <w:tc>
          <w:tcPr>
            <w:tcW w:type="dxa" w:w="4320"/>
          </w:tcPr>
          <w:p>
            <w:r>
              <w:t>Selected Model</w:t>
            </w:r>
          </w:p>
        </w:tc>
        <w:tc>
          <w:tcPr>
            <w:tcW w:type="dxa" w:w="4320"/>
          </w:tcPr>
          <w:p>
            <w:r>
              <w:t>Logistic Regression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65.66%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0.733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