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Economic Intelligence Operating System (EIOS)</w:t>
      </w:r>
    </w:p>
    <w:p>
      <w:pPr>
        <w:pStyle w:val="Heading2"/>
      </w:pPr>
      <w:r>
        <w:t>Unified Platform Specification</w:t>
      </w:r>
    </w:p>
    <w:p>
      <w:pPr>
        <w:pStyle w:val="Heading3"/>
      </w:pPr>
      <w:r>
        <w:t>Part I - Foundation</w:t>
      </w:r>
    </w:p>
    <w:p>
      <w:pPr>
        <w:pStyle w:val="Heading4"/>
      </w:pPr>
      <w:r>
        <w:t>Chapter EIOS-001: Mission, Purpose and Design Philosophy</w:t>
      </w:r>
    </w:p>
    <w:p>
      <w:pPr>
        <w:pStyle w:val="Heading5"/>
      </w:pPr>
      <w:r>
        <w:t>Purpose</w:t>
      </w:r>
    </w:p>
    <w:p>
      <w:r>
        <w:t>This chapter defines the mission and governing philosophy for the EIOS platform. Every subsystem must conform to it.</w:t>
      </w:r>
    </w:p>
    <w:p>
      <w:pPr>
        <w:pStyle w:val="Heading5"/>
      </w:pPr>
      <w:r>
        <w:t>Mission</w:t>
      </w:r>
    </w:p>
    <w:p>
      <w:r>
        <w:t>Model the evolving world, discover economic principles governing complex adaptive systems, and transform scientific understanding into explainable, evidence-backed capital allocation decisions.</w:t>
      </w:r>
    </w:p>
    <w:p>
      <w:pPr>
        <w:pStyle w:val="Heading5"/>
      </w:pPr>
      <w:r>
        <w:t>Core Principles</w:t>
      </w:r>
    </w:p>
    <w:p>
      <w:r>
        <w:t>Reality precedes models.</w:t>
        <w:br/>
        <w:t>Systems precede companies.</w:t>
        <w:br/>
        <w:t>Scientific reasoning precedes prediction.</w:t>
        <w:br/>
        <w:t>Causality precedes correlation.</w:t>
        <w:br/>
        <w:t>Knowledge precedes recommendations.</w:t>
        <w:br/>
        <w:t>Historical replay precedes production.</w:t>
        <w:br/>
        <w:t>Explainability precedes automation.</w:t>
        <w:br/>
        <w:t>Continuous learning is mandatory.</w:t>
      </w:r>
    </w:p>
    <w:p>
      <w:pPr>
        <w:pStyle w:val="Heading5"/>
      </w:pPr>
      <w:r>
        <w:t>Architectural Layers</w:t>
      </w:r>
    </w:p>
    <w:p>
      <w:r>
        <w:t>L0 Platform Foundation</w:t>
        <w:br/>
        <w:t>L1 Genesis</w:t>
        <w:br/>
        <w:t>L2 Prometheus</w:t>
        <w:br/>
        <w:t>L3 Personal CIO</w:t>
        <w:br/>
        <w:t>L4 Platform Services</w:t>
      </w:r>
    </w:p>
    <w:p>
      <w:pPr>
        <w:pStyle w:val="Heading5"/>
      </w:pPr>
      <w:r>
        <w:t>Canonical Object Pipeline</w:t>
      </w:r>
    </w:p>
    <w:p>
      <w:r>
        <w:t>Reality Observation -&gt; Evidence -&gt; Signal -&gt; Theme -&gt; Megatrend -&gt; System -&gt; System Transformation -&gt; Value Chain -&gt; Constraint -&gt; Bottleneck -&gt; Profit Pool -&gt; Knowledge Object -&gt; Economic Principle -&gt; Economic Law -&gt; Investment Thesis -&gt; Portfolio Recommendation</w:t>
      </w:r>
    </w:p>
    <w:p>
      <w:pPr>
        <w:pStyle w:val="Heading5"/>
      </w:pPr>
      <w:r>
        <w:t>Normative Requirements</w:t>
      </w:r>
    </w:p>
    <w:p>
      <w:r>
        <w:t>REQ-EIOS-001 Begin from observable reality.</w:t>
        <w:br/>
        <w:t>REQ-EIOS-002 Every recommendation traces to evidence.</w:t>
        <w:br/>
        <w:t>REQ-EIOS-003 Economic Laws preserve provenance.</w:t>
        <w:br/>
        <w:t>REQ-EIOS-004 Genesis publishes knowledge; Prometheus consumes it.</w:t>
        <w:br/>
        <w:t>REQ-EIOS-005 Historical replay required.</w:t>
        <w:br/>
        <w:t>REQ-EIOS-006 Unified Specification is authoritative.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