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GPSR-006 Knowledge Object Specification</w:t>
      </w:r>
    </w:p>
    <w:p>
      <w:r>
        <w:t>Implementation Specification v1.0</w:t>
      </w:r>
    </w:p>
    <w:p>
      <w:pPr>
        <w:pStyle w:val="Heading2"/>
      </w:pPr>
      <w:r>
        <w:t>1. Purpose</w:t>
      </w:r>
    </w:p>
    <w:p>
      <w:r>
        <w:t>Knowledge Objects (KOs) are the canonical, machine-readable scientific outputs of Project Genesis. They distill validated lessons from one or more Historical World Graphs into reusable knowledge consumed by Prometheus.</w:t>
      </w:r>
    </w:p>
    <w:p>
      <w:pPr>
        <w:pStyle w:val="Heading2"/>
      </w:pPr>
      <w:r>
        <w:t>2. Design Principles</w:t>
      </w:r>
    </w:p>
    <w:p>
      <w:pPr>
        <w:pStyle w:val="ListBullet"/>
      </w:pPr>
      <w:r>
        <w:t>Every Knowledge Object is evidence-backed.</w:t>
      </w:r>
    </w:p>
    <w:p>
      <w:pPr>
        <w:pStyle w:val="ListBullet"/>
      </w:pPr>
      <w:r>
        <w:t>Every Knowledge Object references one or more Historical World Graphs.</w:t>
      </w:r>
    </w:p>
    <w:p>
      <w:pPr>
        <w:pStyle w:val="ListBullet"/>
      </w:pPr>
      <w:r>
        <w:t>Knowledge Objects are immutable after publication.</w:t>
      </w:r>
    </w:p>
    <w:p>
      <w:pPr>
        <w:pStyle w:val="ListBullet"/>
      </w:pPr>
      <w:r>
        <w:t>New evidence creates a new version rather than modifying an existing object.</w:t>
      </w:r>
    </w:p>
    <w:p>
      <w:pPr>
        <w:pStyle w:val="ListBullet"/>
      </w:pPr>
      <w:r>
        <w:t>Knowledge Objects are explainable, testable, and reusable.</w:t>
      </w:r>
    </w:p>
    <w:p>
      <w:pPr>
        <w:pStyle w:val="Heading2"/>
      </w:pPr>
      <w:r>
        <w:t>3. Knowledge Object Types</w:t>
      </w:r>
    </w:p>
    <w:p>
      <w:pPr>
        <w:pStyle w:val="ListBullet"/>
      </w:pPr>
      <w:r>
        <w:t>Economic Law</w:t>
      </w:r>
    </w:p>
    <w:p>
      <w:pPr>
        <w:pStyle w:val="ListBullet"/>
      </w:pPr>
      <w:r>
        <w:t>Technology Law</w:t>
      </w:r>
    </w:p>
    <w:p>
      <w:pPr>
        <w:pStyle w:val="ListBullet"/>
      </w:pPr>
      <w:r>
        <w:t>Multi-Bagger Genome</w:t>
      </w:r>
    </w:p>
    <w:p>
      <w:pPr>
        <w:pStyle w:val="ListBullet"/>
      </w:pPr>
      <w:r>
        <w:t>Failure Genome</w:t>
      </w:r>
    </w:p>
    <w:p>
      <w:pPr>
        <w:pStyle w:val="ListBullet"/>
      </w:pPr>
      <w:r>
        <w:t>Bubble Pattern</w:t>
      </w:r>
    </w:p>
    <w:p>
      <w:pPr>
        <w:pStyle w:val="ListBullet"/>
      </w:pPr>
      <w:r>
        <w:t>Capital Cycle Pattern</w:t>
      </w:r>
    </w:p>
    <w:p>
      <w:pPr>
        <w:pStyle w:val="ListBullet"/>
      </w:pPr>
      <w:r>
        <w:t>Leadership Archetype</w:t>
      </w:r>
    </w:p>
    <w:p>
      <w:pPr>
        <w:pStyle w:val="ListBullet"/>
      </w:pPr>
      <w:r>
        <w:t>Supply Chain Archetype</w:t>
      </w:r>
    </w:p>
    <w:p>
      <w:pPr>
        <w:pStyle w:val="ListBullet"/>
      </w:pPr>
      <w:r>
        <w:t>Bottleneck Archetype</w:t>
      </w:r>
    </w:p>
    <w:p>
      <w:pPr>
        <w:pStyle w:val="ListBullet"/>
      </w:pPr>
      <w:r>
        <w:t>Technology Adoption Pattern</w:t>
      </w:r>
    </w:p>
    <w:p>
      <w:pPr>
        <w:pStyle w:val="ListBullet"/>
      </w:pPr>
      <w:r>
        <w:t>Risk Pattern</w:t>
      </w:r>
    </w:p>
    <w:p>
      <w:pPr>
        <w:pStyle w:val="ListBullet"/>
      </w:pPr>
      <w:r>
        <w:t>Market Structure Pattern</w:t>
      </w:r>
    </w:p>
    <w:p>
      <w:pPr>
        <w:pStyle w:val="Heading2"/>
      </w:pPr>
      <w:r>
        <w:t>4. Canonical Schema</w:t>
      </w:r>
    </w:p>
    <w:p>
      <w:r>
        <w:br/>
        <w:t>knowledge_object:</w:t>
        <w:br/>
        <w:t xml:space="preserve">  id:</w:t>
        <w:br/>
        <w:t xml:space="preserve">  type:</w:t>
        <w:br/>
        <w:t xml:space="preserve">  title:</w:t>
        <w:br/>
        <w:t xml:space="preserve">  summary:</w:t>
        <w:br/>
        <w:t xml:space="preserve">  historical_world_graphs: []</w:t>
        <w:br/>
        <w:t xml:space="preserve">  activation_contexts: []</w:t>
        <w:br/>
        <w:t xml:space="preserve">  applicable_graphs: []</w:t>
        <w:br/>
        <w:t xml:space="preserve">  supporting_evidence: []</w:t>
        <w:br/>
        <w:t xml:space="preserve">  contradicting_evidence: []</w:t>
        <w:br/>
        <w:t xml:space="preserve">  confidence:</w:t>
        <w:br/>
        <w:t xml:space="preserve">  failure_conditions: []</w:t>
        <w:br/>
        <w:t xml:space="preserve">  prediction_record:</w:t>
        <w:br/>
        <w:t xml:space="preserve">  created_at:</w:t>
        <w:br/>
        <w:t xml:space="preserve">  version:</w:t>
        <w:br/>
        <w:t xml:space="preserve">  status:</w:t>
        <w:br/>
      </w:r>
    </w:p>
    <w:p>
      <w:pPr>
        <w:pStyle w:val="Heading2"/>
      </w:pPr>
      <w:r>
        <w:t>5. Lifecycle</w:t>
      </w:r>
    </w:p>
    <w:p>
      <w:pPr>
        <w:pStyle w:val="ListNumber"/>
      </w:pPr>
      <w:r>
        <w:t>Extract candidate insights from Historical World Graphs</w:t>
      </w:r>
    </w:p>
    <w:p>
      <w:pPr>
        <w:pStyle w:val="ListNumber"/>
      </w:pPr>
      <w:r>
        <w:t>Group similar observations</w:t>
      </w:r>
    </w:p>
    <w:p>
      <w:pPr>
        <w:pStyle w:val="ListNumber"/>
      </w:pPr>
      <w:r>
        <w:t>Generate hypothesis</w:t>
      </w:r>
    </w:p>
    <w:p>
      <w:pPr>
        <w:pStyle w:val="ListNumber"/>
      </w:pPr>
      <w:r>
        <w:t>Scientific Council review</w:t>
      </w:r>
    </w:p>
    <w:p>
      <w:pPr>
        <w:pStyle w:val="ListNumber"/>
      </w:pPr>
      <w:r>
        <w:t>Red Team challenge</w:t>
      </w:r>
    </w:p>
    <w:p>
      <w:pPr>
        <w:pStyle w:val="ListNumber"/>
      </w:pPr>
      <w:r>
        <w:t>Statistical validation</w:t>
      </w:r>
    </w:p>
    <w:p>
      <w:pPr>
        <w:pStyle w:val="ListNumber"/>
      </w:pPr>
      <w:r>
        <w:t>Publish to Genesis Experience Layer</w:t>
      </w:r>
    </w:p>
    <w:p>
      <w:pPr>
        <w:pStyle w:val="ListNumber"/>
      </w:pPr>
      <w:r>
        <w:t>Version when superseded</w:t>
      </w:r>
    </w:p>
    <w:p>
      <w:pPr>
        <w:pStyle w:val="Heading2"/>
      </w:pPr>
      <w:r>
        <w:t>6. Consumption Contract</w:t>
      </w:r>
    </w:p>
    <w:p>
      <w:r>
        <w:t>Prometheus engines query Knowledge Objects by ontology entity, activation context, persistent graph type, time horizon, confidence threshold, or historical similarity.</w:t>
      </w:r>
    </w:p>
    <w:p>
      <w:pPr>
        <w:pStyle w:val="Heading2"/>
      </w:pPr>
      <w:r>
        <w:t>7. Conceptual APIs</w:t>
      </w:r>
    </w:p>
    <w:p>
      <w:pPr>
        <w:pStyle w:val="ListBullet"/>
      </w:pPr>
      <w:r>
        <w:t>PublishKnowledgeObject()</w:t>
      </w:r>
    </w:p>
    <w:p>
      <w:pPr>
        <w:pStyle w:val="ListBullet"/>
      </w:pPr>
      <w:r>
        <w:t>FindKnowledgeObjects(query)</w:t>
      </w:r>
    </w:p>
    <w:p>
      <w:pPr>
        <w:pStyle w:val="ListBullet"/>
      </w:pPr>
      <w:r>
        <w:t>GetApplicableKnowledgeObjects(graph)</w:t>
      </w:r>
    </w:p>
    <w:p>
      <w:pPr>
        <w:pStyle w:val="ListBullet"/>
      </w:pPr>
      <w:r>
        <w:t>GetHistoricalAnalogues(context)</w:t>
      </w:r>
    </w:p>
    <w:p>
      <w:pPr>
        <w:pStyle w:val="ListBullet"/>
      </w:pPr>
      <w:r>
        <w:t>ValidateKnowledgeObject(id)</w:t>
      </w:r>
    </w:p>
    <w:p>
      <w:pPr>
        <w:pStyle w:val="Heading2"/>
      </w:pPr>
      <w:r>
        <w:t>8. Quality Metrics</w:t>
      </w:r>
    </w:p>
    <w:p>
      <w:pPr>
        <w:pStyle w:val="ListBullet"/>
      </w:pPr>
      <w:r>
        <w:t>Prediction accuracy</w:t>
      </w:r>
    </w:p>
    <w:p>
      <w:pPr>
        <w:pStyle w:val="ListBullet"/>
      </w:pPr>
      <w:r>
        <w:t>Historical replay accuracy</w:t>
      </w:r>
    </w:p>
    <w:p>
      <w:pPr>
        <w:pStyle w:val="ListBullet"/>
      </w:pPr>
      <w:r>
        <w:t>Generalization across market regimes</w:t>
      </w:r>
    </w:p>
    <w:p>
      <w:pPr>
        <w:pStyle w:val="ListBullet"/>
      </w:pPr>
      <w:r>
        <w:t>False positive rate</w:t>
      </w:r>
    </w:p>
    <w:p>
      <w:pPr>
        <w:pStyle w:val="ListBullet"/>
      </w:pPr>
      <w:r>
        <w:t>Knowledge reuse frequency</w:t>
      </w:r>
    </w:p>
    <w:p>
      <w:pPr>
        <w:pStyle w:val="ListBullet"/>
      </w:pPr>
      <w:r>
        <w:t>Scientific confidence calibration</w:t>
      </w:r>
    </w:p>
    <w:p>
      <w:pPr>
        <w:pStyle w:val="Heading2"/>
      </w:pPr>
      <w:r>
        <w:t>9. Dependencies</w:t>
      </w:r>
    </w:p>
    <w:p>
      <w:r>
        <w:br/>
        <w:t>Depends on:</w:t>
        <w:br/>
        <w:t>GPSR-003 Investment Ontology</w:t>
        <w:br/>
        <w:t>GPSR-004 Persistent World Graph Specification</w:t>
        <w:br/>
        <w:t>GPSR-005 Historical World Graph Specification</w:t>
        <w:br/>
        <w:br/>
        <w:t>Referenced by:</w:t>
        <w:br/>
        <w:t>Genesis Experience Layer</w:t>
        <w:br/>
        <w:t>World State Intelligence</w:t>
        <w:br/>
        <w:t>Historical Matching Engine</w:t>
        <w:br/>
        <w:t>Capital Discovery Pipeline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