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GPSR-015 Bottleneck Discovery Engine</w:t>
      </w:r>
    </w:p>
    <w:p>
      <w:r>
        <w:t>Implementation Specification v1.0</w:t>
      </w:r>
    </w:p>
    <w:p>
      <w:pPr>
        <w:pStyle w:val="Heading2"/>
      </w:pPr>
      <w:r>
        <w:t>1. Mission</w:t>
      </w:r>
    </w:p>
    <w:p>
      <w:r>
        <w:t>Determine which constraints become economically significant bottlenecks capable of changing profit pools, capital allocation, competitive dynamics, and ultimately stock performance.</w:t>
      </w:r>
    </w:p>
    <w:p>
      <w:pPr>
        <w:pStyle w:val="Heading2"/>
      </w:pPr>
      <w:r>
        <w:t>2. Bottleneck Definition</w:t>
      </w:r>
    </w:p>
    <w:p>
      <w:r>
        <w:t>A bottleneck is a structural constraint whose scarcity materially changes value capture. Only a subset of constraints qualify as bottlenecks.</w:t>
      </w:r>
    </w:p>
    <w:p>
      <w:pPr>
        <w:pStyle w:val="Heading2"/>
      </w:pPr>
      <w:r>
        <w:t>3. Design Principles</w:t>
      </w:r>
    </w:p>
    <w:p>
      <w:pPr>
        <w:pStyle w:val="ListBullet"/>
      </w:pPr>
      <w:r>
        <w:t>Model scarcity, not popularity.</w:t>
      </w:r>
    </w:p>
    <w:p>
      <w:pPr>
        <w:pStyle w:val="ListBullet"/>
      </w:pPr>
      <w:r>
        <w:t>Analyze bottlenecks before identifying companies.</w:t>
      </w:r>
    </w:p>
    <w:p>
      <w:pPr>
        <w:pStyle w:val="ListBullet"/>
      </w:pPr>
      <w:r>
        <w:t>Evaluate bottlenecks across multiple Persistent World Graphs.</w:t>
      </w:r>
    </w:p>
    <w:p>
      <w:pPr>
        <w:pStyle w:val="ListBullet"/>
      </w:pPr>
      <w:r>
        <w:t>Quantify duration as well as severity.</w:t>
      </w:r>
    </w:p>
    <w:p>
      <w:pPr>
        <w:pStyle w:val="ListBullet"/>
      </w:pPr>
      <w:r>
        <w:t>Continuously reassess as capacity expands.</w:t>
      </w:r>
    </w:p>
    <w:p>
      <w:pPr>
        <w:pStyle w:val="Heading2"/>
      </w:pPr>
      <w:r>
        <w:t>4. Inputs</w:t>
      </w:r>
    </w:p>
    <w:p>
      <w:pPr>
        <w:pStyle w:val="ListBullet"/>
      </w:pPr>
      <w:r>
        <w:t>Constraint Register</w:t>
      </w:r>
    </w:p>
    <w:p>
      <w:pPr>
        <w:pStyle w:val="ListBullet"/>
      </w:pPr>
      <w:r>
        <w:t>Recursive Value Creation Graph</w:t>
      </w:r>
    </w:p>
    <w:p>
      <w:pPr>
        <w:pStyle w:val="ListBullet"/>
      </w:pPr>
      <w:r>
        <w:t>Tier-N Supply Chain Graph</w:t>
      </w:r>
    </w:p>
    <w:p>
      <w:pPr>
        <w:pStyle w:val="ListBullet"/>
      </w:pPr>
      <w:r>
        <w:t>Historical World Graphs</w:t>
      </w:r>
    </w:p>
    <w:p>
      <w:pPr>
        <w:pStyle w:val="ListBullet"/>
      </w:pPr>
      <w:r>
        <w:t>Genesis Knowledge Objects</w:t>
      </w:r>
    </w:p>
    <w:p>
      <w:pPr>
        <w:pStyle w:val="ListBullet"/>
      </w:pPr>
      <w:r>
        <w:t>Activation Context</w:t>
      </w:r>
    </w:p>
    <w:p>
      <w:pPr>
        <w:pStyle w:val="Heading2"/>
      </w:pPr>
      <w:r>
        <w:t>5. Outputs</w:t>
      </w:r>
    </w:p>
    <w:p>
      <w:pPr>
        <w:pStyle w:val="ListBullet"/>
      </w:pPr>
      <w:r>
        <w:t>Bottleneck Register</w:t>
      </w:r>
    </w:p>
    <w:p>
      <w:pPr>
        <w:pStyle w:val="ListBullet"/>
      </w:pPr>
      <w:r>
        <w:t>Scarcity Score</w:t>
      </w:r>
    </w:p>
    <w:p>
      <w:pPr>
        <w:pStyle w:val="ListBullet"/>
      </w:pPr>
      <w:r>
        <w:t>Duration Estimate</w:t>
      </w:r>
    </w:p>
    <w:p>
      <w:pPr>
        <w:pStyle w:val="ListBullet"/>
      </w:pPr>
      <w:r>
        <w:t>Economic Impact Assessment</w:t>
      </w:r>
    </w:p>
    <w:p>
      <w:pPr>
        <w:pStyle w:val="ListBullet"/>
      </w:pPr>
      <w:r>
        <w:t>Value Capture Candidates</w:t>
      </w:r>
    </w:p>
    <w:p>
      <w:pPr>
        <w:pStyle w:val="ListBullet"/>
      </w:pPr>
      <w:r>
        <w:t>Monitoring Dashboard</w:t>
      </w:r>
    </w:p>
    <w:p>
      <w:pPr>
        <w:pStyle w:val="Heading2"/>
      </w:pPr>
      <w:r>
        <w:t>6. Evaluation Dimensions</w:t>
      </w:r>
    </w:p>
    <w:p>
      <w:pPr>
        <w:pStyle w:val="ListBullet"/>
      </w:pPr>
      <w:r>
        <w:t>Supply-demand imbalance</w:t>
      </w:r>
    </w:p>
    <w:p>
      <w:pPr>
        <w:pStyle w:val="ListBullet"/>
      </w:pPr>
      <w:r>
        <w:t>Capacity expansion lead time</w:t>
      </w:r>
    </w:p>
    <w:p>
      <w:pPr>
        <w:pStyle w:val="ListBullet"/>
      </w:pPr>
      <w:r>
        <w:t>Replacement difficulty</w:t>
      </w:r>
    </w:p>
    <w:p>
      <w:pPr>
        <w:pStyle w:val="ListBullet"/>
      </w:pPr>
      <w:r>
        <w:t>Switching cost</w:t>
      </w:r>
    </w:p>
    <w:p>
      <w:pPr>
        <w:pStyle w:val="ListBullet"/>
      </w:pPr>
      <w:r>
        <w:t>Market concentration</w:t>
      </w:r>
    </w:p>
    <w:p>
      <w:pPr>
        <w:pStyle w:val="ListBullet"/>
      </w:pPr>
      <w:r>
        <w:t>Capital intensity</w:t>
      </w:r>
    </w:p>
    <w:p>
      <w:pPr>
        <w:pStyle w:val="ListBullet"/>
      </w:pPr>
      <w:r>
        <w:t>Technology uniqueness</w:t>
      </w:r>
    </w:p>
    <w:p>
      <w:pPr>
        <w:pStyle w:val="ListBullet"/>
      </w:pPr>
      <w:r>
        <w:t>Geopolitical exposure</w:t>
      </w:r>
    </w:p>
    <w:p>
      <w:pPr>
        <w:pStyle w:val="ListBullet"/>
      </w:pPr>
      <w:r>
        <w:t>Historical analogue similarity</w:t>
      </w:r>
    </w:p>
    <w:p>
      <w:pPr>
        <w:pStyle w:val="Heading2"/>
      </w:pPr>
      <w:r>
        <w:t>7. Processing Pipeline</w:t>
      </w:r>
    </w:p>
    <w:p>
      <w:pPr>
        <w:pStyle w:val="ListNumber"/>
      </w:pPr>
      <w:r>
        <w:t>Load Constraint Register</w:t>
      </w:r>
    </w:p>
    <w:p>
      <w:pPr>
        <w:pStyle w:val="ListNumber"/>
      </w:pPr>
      <w:r>
        <w:t>Estimate scarcity</w:t>
      </w:r>
    </w:p>
    <w:p>
      <w:pPr>
        <w:pStyle w:val="ListNumber"/>
      </w:pPr>
      <w:r>
        <w:t>Forecast persistence</w:t>
      </w:r>
    </w:p>
    <w:p>
      <w:pPr>
        <w:pStyle w:val="ListNumber"/>
      </w:pPr>
      <w:r>
        <w:t>Estimate downstream economic impact</w:t>
      </w:r>
    </w:p>
    <w:p>
      <w:pPr>
        <w:pStyle w:val="ListNumber"/>
      </w:pPr>
      <w:r>
        <w:t>Compare with Historical World Graphs</w:t>
      </w:r>
    </w:p>
    <w:p>
      <w:pPr>
        <w:pStyle w:val="ListNumber"/>
      </w:pPr>
      <w:r>
        <w:t>Classify bottleneck type</w:t>
      </w:r>
    </w:p>
    <w:p>
      <w:pPr>
        <w:pStyle w:val="ListNumber"/>
      </w:pPr>
      <w:r>
        <w:t>Publish Bottleneck Register</w:t>
      </w:r>
    </w:p>
    <w:p>
      <w:pPr>
        <w:pStyle w:val="Heading2"/>
      </w:pPr>
      <w:r>
        <w:t>8. Canonical Schema</w:t>
      </w:r>
    </w:p>
    <w:p>
      <w:r>
        <w:br/>
        <w:t>bottleneck:</w:t>
        <w:br/>
        <w:t xml:space="preserve">  id:</w:t>
        <w:br/>
        <w:t xml:space="preserve">  category:</w:t>
        <w:br/>
        <w:t xml:space="preserve">  originating_constraint:</w:t>
        <w:br/>
        <w:t xml:space="preserve">  affected_graphs: []</w:t>
        <w:br/>
        <w:t xml:space="preserve">  scarcity_score:</w:t>
        <w:br/>
        <w:t xml:space="preserve">  duration_estimate:</w:t>
        <w:br/>
        <w:t xml:space="preserve">  economic_impact:</w:t>
        <w:br/>
        <w:t xml:space="preserve">  historical_matches: []</w:t>
        <w:br/>
        <w:t xml:space="preserve">  candidate_profit_pools: []</w:t>
        <w:br/>
        <w:t xml:space="preserve">  confidence:</w:t>
        <w:br/>
      </w:r>
    </w:p>
    <w:p>
      <w:pPr>
        <w:pStyle w:val="Heading2"/>
      </w:pPr>
      <w:r>
        <w:t>9. Conceptual Algorithm</w:t>
      </w:r>
    </w:p>
    <w:p>
      <w:r>
        <w:br/>
        <w:t>for constraint in constraint_register:</w:t>
        <w:br/>
        <w:t xml:space="preserve">    scarcity = estimate_scarcity(constraint)</w:t>
        <w:br/>
        <w:t xml:space="preserve">    duration = forecast_duration(constraint)</w:t>
        <w:br/>
        <w:t xml:space="preserve">    impact = propagate_economic_effects(constraint)</w:t>
        <w:br/>
        <w:t xml:space="preserve">    if qualifies_as_bottleneck(scarcity,duration,impact):</w:t>
        <w:br/>
        <w:t xml:space="preserve">        publish_bottleneck()</w:t>
        <w:br/>
      </w:r>
    </w:p>
    <w:p>
      <w:pPr>
        <w:pStyle w:val="Heading2"/>
      </w:pPr>
      <w:r>
        <w:t>10. APIs</w:t>
      </w:r>
    </w:p>
    <w:p>
      <w:pPr>
        <w:pStyle w:val="ListBullet"/>
      </w:pPr>
      <w:r>
        <w:t>DiscoverBottlenecks()</w:t>
      </w:r>
    </w:p>
    <w:p>
      <w:pPr>
        <w:pStyle w:val="ListBullet"/>
      </w:pPr>
      <w:r>
        <w:t>EstimateScarcity()</w:t>
      </w:r>
    </w:p>
    <w:p>
      <w:pPr>
        <w:pStyle w:val="ListBullet"/>
      </w:pPr>
      <w:r>
        <w:t>ForecastDuration()</w:t>
      </w:r>
    </w:p>
    <w:p>
      <w:pPr>
        <w:pStyle w:val="ListBullet"/>
      </w:pPr>
      <w:r>
        <w:t>GetBottleneckRegister()</w:t>
      </w:r>
    </w:p>
    <w:p>
      <w:pPr>
        <w:pStyle w:val="ListBullet"/>
      </w:pPr>
      <w:r>
        <w:t>MonitorBottleneck(id)</w:t>
      </w:r>
    </w:p>
    <w:p>
      <w:pPr>
        <w:pStyle w:val="Heading2"/>
      </w:pPr>
      <w:r>
        <w:t>11. KPIs</w:t>
      </w:r>
    </w:p>
    <w:p>
      <w:pPr>
        <w:pStyle w:val="ListBullet"/>
      </w:pPr>
      <w:r>
        <w:t>Early bottleneck detection rate</w:t>
      </w:r>
    </w:p>
    <w:p>
      <w:pPr>
        <w:pStyle w:val="ListBullet"/>
      </w:pPr>
      <w:r>
        <w:t>Prediction lead time</w:t>
      </w:r>
    </w:p>
    <w:p>
      <w:pPr>
        <w:pStyle w:val="ListBullet"/>
      </w:pPr>
      <w:r>
        <w:t>False bottleneck rate</w:t>
      </w:r>
    </w:p>
    <w:p>
      <w:pPr>
        <w:pStyle w:val="ListBullet"/>
      </w:pPr>
      <w:r>
        <w:t>Economic impact calibration</w:t>
      </w:r>
    </w:p>
    <w:p>
      <w:pPr>
        <w:pStyle w:val="ListBullet"/>
      </w:pPr>
      <w:r>
        <w:t>Value-capture handoff quality</w:t>
      </w:r>
    </w:p>
    <w:p>
      <w:pPr>
        <w:pStyle w:val="Heading2"/>
      </w:pPr>
      <w:r>
        <w:t>12. Failure Modes</w:t>
      </w:r>
    </w:p>
    <w:p>
      <w:pPr>
        <w:pStyle w:val="ListBullet"/>
      </w:pPr>
      <w:r>
        <w:t>Confusing temporary shortages with structural bottlenecks</w:t>
      </w:r>
    </w:p>
    <w:p>
      <w:pPr>
        <w:pStyle w:val="ListBullet"/>
      </w:pPr>
      <w:r>
        <w:t>Ignoring rapid capacity expansion</w:t>
      </w:r>
    </w:p>
    <w:p>
      <w:pPr>
        <w:pStyle w:val="ListBullet"/>
      </w:pPr>
      <w:r>
        <w:t>Underestimating substitution risk</w:t>
      </w:r>
    </w:p>
    <w:p>
      <w:pPr>
        <w:pStyle w:val="ListBullet"/>
      </w:pPr>
      <w:r>
        <w:t>Missing second-order bottlenecks</w:t>
      </w:r>
    </w:p>
    <w:p>
      <w:pPr>
        <w:pStyle w:val="Heading2"/>
      </w:pPr>
      <w:r>
        <w:t>13. Dependencies</w:t>
      </w:r>
    </w:p>
    <w:p>
      <w:r>
        <w:br/>
        <w:t>Depends on:</w:t>
        <w:br/>
        <w:t>GPSR-014 Constraint Discovery Engine</w:t>
        <w:br/>
        <w:br/>
        <w:t>Referenced by:</w:t>
        <w:br/>
        <w:t>GPSR-016 Value Capture Engine</w:t>
        <w:br/>
        <w:t>GPSR-017 Historical World Graph Matching Engine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