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GPSR-017 Historical World Graph Matching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Compare the current activated World Graph against Genesis Historical World Graphs to identify analogous historical situations, transferable knowledge, likely outcomes, and important differences.</w:t>
      </w:r>
    </w:p>
    <w:p>
      <w:pPr>
        <w:pStyle w:val="Heading2"/>
      </w:pPr>
      <w:r>
        <w:t>2. Design Philosophy</w:t>
      </w:r>
    </w:p>
    <w:p>
      <w:pPr>
        <w:pStyle w:val="ListBullet"/>
      </w:pPr>
      <w:r>
        <w:t>Never search for identical history; search for structurally similar graph evolution.</w:t>
      </w:r>
    </w:p>
    <w:p>
      <w:pPr>
        <w:pStyle w:val="ListBullet"/>
      </w:pPr>
      <w:r>
        <w:t>Compare graph topology, activation context, bottlenecks, value capture and capital cycles.</w:t>
      </w:r>
    </w:p>
    <w:p>
      <w:pPr>
        <w:pStyle w:val="ListBullet"/>
      </w:pPr>
      <w:r>
        <w:t>Surface both similarities and disconfirming differences.</w:t>
      </w:r>
    </w:p>
    <w:p>
      <w:pPr>
        <w:pStyle w:val="ListBullet"/>
      </w:pPr>
      <w:r>
        <w:t>Produce hypotheses, not deterministic predictions.</w:t>
      </w:r>
    </w:p>
    <w:p>
      <w:pPr>
        <w:pStyle w:val="Heading2"/>
      </w:pPr>
      <w:r>
        <w:t>3. Inputs</w:t>
      </w:r>
    </w:p>
    <w:p>
      <w:pPr>
        <w:pStyle w:val="ListBullet"/>
      </w:pPr>
      <w:r>
        <w:t>Current World State Graph</w:t>
      </w:r>
    </w:p>
    <w:p>
      <w:pPr>
        <w:pStyle w:val="ListBullet"/>
      </w:pPr>
      <w:r>
        <w:t>Activated Persistent World Graphs</w:t>
      </w:r>
    </w:p>
    <w:p>
      <w:pPr>
        <w:pStyle w:val="ListBullet"/>
      </w:pPr>
      <w:r>
        <w:t>Value Capture Graph</w:t>
      </w:r>
    </w:p>
    <w:p>
      <w:pPr>
        <w:pStyle w:val="ListBullet"/>
      </w:pPr>
      <w:r>
        <w:t>Historical World Graph Library</w:t>
      </w:r>
    </w:p>
    <w:p>
      <w:pPr>
        <w:pStyle w:val="ListBullet"/>
      </w:pPr>
      <w:r>
        <w:t>Genesis Knowledge Objects</w:t>
      </w:r>
    </w:p>
    <w:p>
      <w:pPr>
        <w:pStyle w:val="Heading2"/>
      </w:pPr>
      <w:r>
        <w:t>4. Outputs</w:t>
      </w:r>
    </w:p>
    <w:p>
      <w:pPr>
        <w:pStyle w:val="ListBullet"/>
      </w:pPr>
      <w:r>
        <w:t>Historical Match Report</w:t>
      </w:r>
    </w:p>
    <w:p>
      <w:pPr>
        <w:pStyle w:val="ListBullet"/>
      </w:pPr>
      <w:r>
        <w:t>Similarity Scores by Dimension</w:t>
      </w:r>
    </w:p>
    <w:p>
      <w:pPr>
        <w:pStyle w:val="ListBullet"/>
      </w:pPr>
      <w:r>
        <w:t>Key Differences</w:t>
      </w:r>
    </w:p>
    <w:p>
      <w:pPr>
        <w:pStyle w:val="ListBullet"/>
      </w:pPr>
      <w:r>
        <w:t>Applicable Knowledge Objects</w:t>
      </w:r>
    </w:p>
    <w:p>
      <w:pPr>
        <w:pStyle w:val="ListBullet"/>
      </w:pPr>
      <w:r>
        <w:t>Forward Outcome Scenarios</w:t>
      </w:r>
    </w:p>
    <w:p>
      <w:pPr>
        <w:pStyle w:val="ListBullet"/>
      </w:pPr>
      <w:r>
        <w:t>Company Discovery Context</w:t>
      </w:r>
    </w:p>
    <w:p>
      <w:pPr>
        <w:pStyle w:val="Heading2"/>
      </w:pPr>
      <w:r>
        <w:t>5. Matching Dimensions</w:t>
      </w:r>
    </w:p>
    <w:p>
      <w:pPr>
        <w:pStyle w:val="ListBullet"/>
      </w:pPr>
      <w:r>
        <w:t>Activation Context</w:t>
      </w:r>
    </w:p>
    <w:p>
      <w:pPr>
        <w:pStyle w:val="ListBullet"/>
      </w:pPr>
      <w:r>
        <w:t>Graph Structure</w:t>
      </w:r>
    </w:p>
    <w:p>
      <w:pPr>
        <w:pStyle w:val="ListBullet"/>
      </w:pPr>
      <w:r>
        <w:t>Value Chain Topology</w:t>
      </w:r>
    </w:p>
    <w:p>
      <w:pPr>
        <w:pStyle w:val="ListBullet"/>
      </w:pPr>
      <w:r>
        <w:t>Supply Chain Topology</w:t>
      </w:r>
    </w:p>
    <w:p>
      <w:pPr>
        <w:pStyle w:val="ListBullet"/>
      </w:pPr>
      <w:r>
        <w:t>Constraint Profile</w:t>
      </w:r>
    </w:p>
    <w:p>
      <w:pPr>
        <w:pStyle w:val="ListBullet"/>
      </w:pPr>
      <w:r>
        <w:t>Bottleneck Profile</w:t>
      </w:r>
    </w:p>
    <w:p>
      <w:pPr>
        <w:pStyle w:val="ListBullet"/>
      </w:pPr>
      <w:r>
        <w:t>Capital Cycle Stage</w:t>
      </w:r>
    </w:p>
    <w:p>
      <w:pPr>
        <w:pStyle w:val="ListBullet"/>
      </w:pPr>
      <w:r>
        <w:t>Leadership Patterns</w:t>
      </w:r>
    </w:p>
    <w:p>
      <w:pPr>
        <w:pStyle w:val="ListBullet"/>
      </w:pPr>
      <w:r>
        <w:t>Technology Adoption</w:t>
      </w:r>
    </w:p>
    <w:p>
      <w:pPr>
        <w:pStyle w:val="ListBullet"/>
      </w:pPr>
      <w:r>
        <w:t>Macro Regime</w:t>
      </w:r>
    </w:p>
    <w:p>
      <w:pPr>
        <w:pStyle w:val="ListBullet"/>
      </w:pPr>
      <w:r>
        <w:t>Market Narrative</w:t>
      </w:r>
    </w:p>
    <w:p>
      <w:pPr>
        <w:pStyle w:val="Heading2"/>
      </w:pPr>
      <w:r>
        <w:t>6. Processing Pipeline</w:t>
      </w:r>
    </w:p>
    <w:p>
      <w:pPr>
        <w:pStyle w:val="ListNumber"/>
      </w:pPr>
      <w:r>
        <w:t>Load current graph</w:t>
      </w:r>
    </w:p>
    <w:p>
      <w:pPr>
        <w:pStyle w:val="ListNumber"/>
      </w:pPr>
      <w:r>
        <w:t>Retrieve candidate historical graphs</w:t>
      </w:r>
    </w:p>
    <w:p>
      <w:pPr>
        <w:pStyle w:val="ListNumber"/>
      </w:pPr>
      <w:r>
        <w:t>Compute structural similarity</w:t>
      </w:r>
    </w:p>
    <w:p>
      <w:pPr>
        <w:pStyle w:val="ListNumber"/>
      </w:pPr>
      <w:r>
        <w:t>Compare bottlenecks and value capture</w:t>
      </w:r>
    </w:p>
    <w:p>
      <w:pPr>
        <w:pStyle w:val="ListNumber"/>
      </w:pPr>
      <w:r>
        <w:t>Identify matching Knowledge Objects</w:t>
      </w:r>
    </w:p>
    <w:p>
      <w:pPr>
        <w:pStyle w:val="ListNumber"/>
      </w:pPr>
      <w:r>
        <w:t>Generate outcome scenarios</w:t>
      </w:r>
    </w:p>
    <w:p>
      <w:pPr>
        <w:pStyle w:val="ListNumber"/>
      </w:pPr>
      <w:r>
        <w:t>Publish Historical Match Report</w:t>
      </w:r>
    </w:p>
    <w:p>
      <w:pPr>
        <w:pStyle w:val="Heading2"/>
      </w:pPr>
      <w:r>
        <w:t>7. Canonical Schema</w:t>
      </w:r>
    </w:p>
    <w:p>
      <w:r>
        <w:br/>
        <w:t>historical_match:</w:t>
        <w:br/>
        <w:t xml:space="preserve">  current_graph:</w:t>
        <w:br/>
        <w:t xml:space="preserve">  matched_graphs: []</w:t>
        <w:br/>
        <w:t xml:space="preserve">  similarity_by_dimension: {}</w:t>
        <w:br/>
        <w:t xml:space="preserve">  key_differences: []</w:t>
        <w:br/>
        <w:t xml:space="preserve">  applicable_knowledge_objects: []</w:t>
        <w:br/>
        <w:t xml:space="preserve">  scenarios: []</w:t>
        <w:br/>
        <w:t xml:space="preserve">  confidence:</w:t>
        <w:br/>
      </w:r>
    </w:p>
    <w:p>
      <w:pPr>
        <w:pStyle w:val="Heading2"/>
      </w:pPr>
      <w:r>
        <w:t>8. APIs</w:t>
      </w:r>
    </w:p>
    <w:p>
      <w:pPr>
        <w:pStyle w:val="ListBullet"/>
      </w:pPr>
      <w:r>
        <w:t>FindHistoricalMatches()</w:t>
      </w:r>
    </w:p>
    <w:p>
      <w:pPr>
        <w:pStyle w:val="ListBullet"/>
      </w:pPr>
      <w:r>
        <w:t>CompareGraphs()</w:t>
      </w:r>
    </w:p>
    <w:p>
      <w:pPr>
        <w:pStyle w:val="ListBullet"/>
      </w:pPr>
      <w:r>
        <w:t>GetApplicableKnowledgeObjects()</w:t>
      </w:r>
    </w:p>
    <w:p>
      <w:pPr>
        <w:pStyle w:val="ListBullet"/>
      </w:pPr>
      <w:r>
        <w:t>GenerateHistoricalReport()</w:t>
      </w:r>
    </w:p>
    <w:p>
      <w:pPr>
        <w:pStyle w:val="Heading2"/>
      </w:pPr>
      <w:r>
        <w:t>9. KPIs</w:t>
      </w:r>
    </w:p>
    <w:p>
      <w:pPr>
        <w:pStyle w:val="ListBullet"/>
      </w:pPr>
      <w:r>
        <w:t>Historical replay accuracy</w:t>
      </w:r>
    </w:p>
    <w:p>
      <w:pPr>
        <w:pStyle w:val="ListBullet"/>
      </w:pPr>
      <w:r>
        <w:t>Similarity calibration</w:t>
      </w:r>
    </w:p>
    <w:p>
      <w:pPr>
        <w:pStyle w:val="ListBullet"/>
      </w:pPr>
      <w:r>
        <w:t>Scenario usefulness</w:t>
      </w:r>
    </w:p>
    <w:p>
      <w:pPr>
        <w:pStyle w:val="ListBullet"/>
      </w:pPr>
      <w:r>
        <w:t>Knowledge Object reuse</w:t>
      </w:r>
    </w:p>
    <w:p>
      <w:pPr>
        <w:pStyle w:val="ListBullet"/>
      </w:pPr>
      <w:r>
        <w:t>Lead time before consensus</w:t>
      </w:r>
    </w:p>
    <w:p>
      <w:pPr>
        <w:pStyle w:val="Heading2"/>
      </w:pPr>
      <w:r>
        <w:t>10. Failure Modes</w:t>
      </w:r>
    </w:p>
    <w:p>
      <w:pPr>
        <w:pStyle w:val="ListBullet"/>
      </w:pPr>
      <w:r>
        <w:t>Overfitting to one historical analogue</w:t>
      </w:r>
    </w:p>
    <w:p>
      <w:pPr>
        <w:pStyle w:val="ListBullet"/>
      </w:pPr>
      <w:r>
        <w:t>Ignoring key structural differences</w:t>
      </w:r>
    </w:p>
    <w:p>
      <w:pPr>
        <w:pStyle w:val="ListBullet"/>
      </w:pPr>
      <w:r>
        <w:t>Selecting superficially similar graphs</w:t>
      </w:r>
    </w:p>
    <w:p>
      <w:pPr>
        <w:pStyle w:val="ListBullet"/>
      </w:pPr>
      <w:r>
        <w:t>Using stale Knowledge Objects</w:t>
      </w:r>
    </w:p>
    <w:p>
      <w:pPr>
        <w:pStyle w:val="Heading2"/>
      </w:pPr>
      <w:r>
        <w:t>11. Dependencies</w:t>
      </w:r>
    </w:p>
    <w:p>
      <w:r>
        <w:br/>
        <w:t>Depends on:</w:t>
        <w:br/>
        <w:t>GPSR-005 Historical World Graph Specification</w:t>
        <w:br/>
        <w:t>GPSR-006 Knowledge Object Specification</w:t>
        <w:br/>
        <w:t>GPSR-016 Value Capture Engine</w:t>
        <w:br/>
        <w:br/>
        <w:t>Referenced by:</w:t>
        <w:br/>
        <w:t>GPSR-018 Candidate Company Discovery Engine</w:t>
        <w:br/>
        <w:t>GPSR-021 Capital Allocation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