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GPSR-020 Technical Timing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Determine the optimal time to deploy capital into companies already identified by the Capital Discovery Pipeline. This engine never originates investment ideas; it validates whether price action confirms the underlying thesis.</w:t>
      </w:r>
    </w:p>
    <w:p>
      <w:pPr>
        <w:pStyle w:val="Heading2"/>
      </w:pPr>
      <w:r>
        <w:t>2. Core Principle</w:t>
      </w:r>
    </w:p>
    <w:p>
      <w:r>
        <w:t>Economic reasoning generates the idea. Technical analysis determines execution timing.</w:t>
      </w:r>
    </w:p>
    <w:p>
      <w:pPr>
        <w:pStyle w:val="Heading2"/>
      </w:pPr>
      <w:r>
        <w:t>3. Inputs</w:t>
      </w:r>
    </w:p>
    <w:p>
      <w:pPr>
        <w:pStyle w:val="ListBullet"/>
      </w:pPr>
      <w:r>
        <w:t>Candidate Company Set</w:t>
      </w:r>
    </w:p>
    <w:p>
      <w:pPr>
        <w:pStyle w:val="ListBullet"/>
      </w:pPr>
      <w:r>
        <w:t>Leadership Assessment</w:t>
      </w:r>
    </w:p>
    <w:p>
      <w:pPr>
        <w:pStyle w:val="ListBullet"/>
      </w:pPr>
      <w:r>
        <w:t>Historical Match Report</w:t>
      </w:r>
    </w:p>
    <w:p>
      <w:pPr>
        <w:pStyle w:val="ListBullet"/>
      </w:pPr>
      <w:r>
        <w:t>Value Capture Graph</w:t>
      </w:r>
    </w:p>
    <w:p>
      <w:pPr>
        <w:pStyle w:val="ListBullet"/>
      </w:pPr>
      <w:r>
        <w:t>Market data (price, volume, options, breadth)</w:t>
      </w:r>
    </w:p>
    <w:p>
      <w:pPr>
        <w:pStyle w:val="Heading2"/>
      </w:pPr>
      <w:r>
        <w:t>4. Outputs</w:t>
      </w:r>
    </w:p>
    <w:p>
      <w:pPr>
        <w:pStyle w:val="ListBullet"/>
      </w:pPr>
      <w:r>
        <w:t>Entry Readiness</w:t>
      </w:r>
    </w:p>
    <w:p>
      <w:pPr>
        <w:pStyle w:val="ListBullet"/>
      </w:pPr>
      <w:r>
        <w:t>Technical Confirmation</w:t>
      </w:r>
    </w:p>
    <w:p>
      <w:pPr>
        <w:pStyle w:val="ListBullet"/>
      </w:pPr>
      <w:r>
        <w:t>Risk Levels</w:t>
      </w:r>
    </w:p>
    <w:p>
      <w:pPr>
        <w:pStyle w:val="ListBullet"/>
      </w:pPr>
      <w:r>
        <w:t>Position Timing Recommendation</w:t>
      </w:r>
    </w:p>
    <w:p>
      <w:pPr>
        <w:pStyle w:val="ListBullet"/>
      </w:pPr>
      <w:r>
        <w:t>Monitoring Triggers</w:t>
      </w:r>
    </w:p>
    <w:p>
      <w:pPr>
        <w:pStyle w:val="Heading2"/>
      </w:pPr>
      <w:r>
        <w:t>5. Technical Evaluation Framework</w:t>
      </w:r>
    </w:p>
    <w:p>
      <w:pPr>
        <w:pStyle w:val="ListBullet"/>
      </w:pPr>
      <w:r>
        <w:t>Long-term price compression</w:t>
      </w:r>
    </w:p>
    <w:p>
      <w:pPr>
        <w:pStyle w:val="ListBullet"/>
      </w:pPr>
      <w:r>
        <w:t>Volatility contraction</w:t>
      </w:r>
    </w:p>
    <w:p>
      <w:pPr>
        <w:pStyle w:val="ListBullet"/>
      </w:pPr>
      <w:r>
        <w:t>EMA 9/20/50/200 alignment</w:t>
      </w:r>
    </w:p>
    <w:p>
      <w:pPr>
        <w:pStyle w:val="ListBullet"/>
      </w:pPr>
      <w:r>
        <w:t>EMA slope confirmation</w:t>
      </w:r>
    </w:p>
    <w:p>
      <w:pPr>
        <w:pStyle w:val="ListBullet"/>
      </w:pPr>
      <w:r>
        <w:t>Institutional accumulation</w:t>
      </w:r>
    </w:p>
    <w:p>
      <w:pPr>
        <w:pStyle w:val="ListBullet"/>
      </w:pPr>
      <w:r>
        <w:t>Relative strength vs sector and market</w:t>
      </w:r>
    </w:p>
    <w:p>
      <w:pPr>
        <w:pStyle w:val="ListBullet"/>
      </w:pPr>
      <w:r>
        <w:t>Volume expansion on breakouts</w:t>
      </w:r>
    </w:p>
    <w:p>
      <w:pPr>
        <w:pStyle w:val="ListBullet"/>
      </w:pPr>
      <w:r>
        <w:t>Base quality</w:t>
      </w:r>
    </w:p>
    <w:p>
      <w:pPr>
        <w:pStyle w:val="ListBullet"/>
      </w:pPr>
      <w:r>
        <w:t>Liquidity</w:t>
      </w:r>
    </w:p>
    <w:p>
      <w:pPr>
        <w:pStyle w:val="ListBullet"/>
      </w:pPr>
      <w:r>
        <w:t>Gap behavior</w:t>
      </w:r>
    </w:p>
    <w:p>
      <w:pPr>
        <w:pStyle w:val="ListBullet"/>
      </w:pPr>
      <w:r>
        <w:t>Market regime alignment</w:t>
      </w:r>
    </w:p>
    <w:p>
      <w:pPr>
        <w:pStyle w:val="Heading2"/>
      </w:pPr>
      <w:r>
        <w:t>6. Entry States</w:t>
      </w:r>
    </w:p>
    <w:p>
      <w:pPr>
        <w:pStyle w:val="ListBullet"/>
      </w:pPr>
      <w:r>
        <w:t>Observe</w:t>
      </w:r>
    </w:p>
    <w:p>
      <w:pPr>
        <w:pStyle w:val="ListBullet"/>
      </w:pPr>
      <w:r>
        <w:t>Building Base</w:t>
      </w:r>
    </w:p>
    <w:p>
      <w:pPr>
        <w:pStyle w:val="ListBullet"/>
      </w:pPr>
      <w:r>
        <w:t>Watchlist</w:t>
      </w:r>
    </w:p>
    <w:p>
      <w:pPr>
        <w:pStyle w:val="ListBullet"/>
      </w:pPr>
      <w:r>
        <w:t>Technically Ready</w:t>
      </w:r>
    </w:p>
    <w:p>
      <w:pPr>
        <w:pStyle w:val="ListBullet"/>
      </w:pPr>
      <w:r>
        <w:t>Entry Window</w:t>
      </w:r>
    </w:p>
    <w:p>
      <w:pPr>
        <w:pStyle w:val="ListBullet"/>
      </w:pPr>
      <w:r>
        <w:t>Extended</w:t>
      </w:r>
    </w:p>
    <w:p>
      <w:pPr>
        <w:pStyle w:val="ListBullet"/>
      </w:pPr>
      <w:r>
        <w:t>Distribution</w:t>
      </w:r>
    </w:p>
    <w:p>
      <w:pPr>
        <w:pStyle w:val="Heading2"/>
      </w:pPr>
      <w:r>
        <w:t>7. Processing Pipeline</w:t>
      </w:r>
    </w:p>
    <w:p>
      <w:pPr>
        <w:pStyle w:val="ListNumber"/>
      </w:pPr>
      <w:r>
        <w:t>Load candidate companies</w:t>
      </w:r>
    </w:p>
    <w:p>
      <w:pPr>
        <w:pStyle w:val="ListNumber"/>
      </w:pPr>
      <w:r>
        <w:t>Evaluate market regime</w:t>
      </w:r>
    </w:p>
    <w:p>
      <w:pPr>
        <w:pStyle w:val="ListNumber"/>
      </w:pPr>
      <w:r>
        <w:t>Evaluate chart structure</w:t>
      </w:r>
    </w:p>
    <w:p>
      <w:pPr>
        <w:pStyle w:val="ListNumber"/>
      </w:pPr>
      <w:r>
        <w:t>Evaluate EMA structure</w:t>
      </w:r>
    </w:p>
    <w:p>
      <w:pPr>
        <w:pStyle w:val="ListNumber"/>
      </w:pPr>
      <w:r>
        <w:t>Evaluate accumulation</w:t>
      </w:r>
    </w:p>
    <w:p>
      <w:pPr>
        <w:pStyle w:val="ListNumber"/>
      </w:pPr>
      <w:r>
        <w:t>Generate entry readiness</w:t>
      </w:r>
    </w:p>
    <w:p>
      <w:pPr>
        <w:pStyle w:val="ListNumber"/>
      </w:pPr>
      <w:r>
        <w:t>Forward to Capital Allocation</w:t>
      </w:r>
    </w:p>
    <w:p>
      <w:pPr>
        <w:pStyle w:val="Heading2"/>
      </w:pPr>
      <w:r>
        <w:t>8. Canonical Schema</w:t>
      </w:r>
    </w:p>
    <w:p>
      <w:r>
        <w:br/>
        <w:t>technical_assessment:</w:t>
        <w:br/>
        <w:t xml:space="preserve">  ticker:</w:t>
        <w:br/>
        <w:t xml:space="preserve">  regime:</w:t>
        <w:br/>
        <w:t xml:space="preserve">  base_stage:</w:t>
        <w:br/>
        <w:t xml:space="preserve">  ema_alignment:</w:t>
        <w:br/>
        <w:t xml:space="preserve">  accumulation:</w:t>
        <w:br/>
        <w:t xml:space="preserve">  relative_strength:</w:t>
        <w:br/>
        <w:t xml:space="preserve">  readiness:</w:t>
        <w:br/>
        <w:t xml:space="preserve">  invalidation_levels: []</w:t>
        <w:br/>
        <w:t xml:space="preserve">  confidence:</w:t>
        <w:br/>
      </w:r>
    </w:p>
    <w:p>
      <w:pPr>
        <w:pStyle w:val="Heading2"/>
      </w:pPr>
      <w:r>
        <w:t>9. APIs</w:t>
      </w:r>
    </w:p>
    <w:p>
      <w:pPr>
        <w:pStyle w:val="ListBullet"/>
      </w:pPr>
      <w:r>
        <w:t>EvaluateTechnicalTiming()</w:t>
      </w:r>
    </w:p>
    <w:p>
      <w:pPr>
        <w:pStyle w:val="ListBullet"/>
      </w:pPr>
      <w:r>
        <w:t>GetEntryReadiness()</w:t>
      </w:r>
    </w:p>
    <w:p>
      <w:pPr>
        <w:pStyle w:val="ListBullet"/>
      </w:pPr>
      <w:r>
        <w:t>MonitorBreakout()</w:t>
      </w:r>
    </w:p>
    <w:p>
      <w:pPr>
        <w:pStyle w:val="ListBullet"/>
      </w:pPr>
      <w:r>
        <w:t>PublishTechnicalAssessment()</w:t>
      </w:r>
    </w:p>
    <w:p>
      <w:pPr>
        <w:pStyle w:val="Heading2"/>
      </w:pPr>
      <w:r>
        <w:t>10. KPIs</w:t>
      </w:r>
    </w:p>
    <w:p>
      <w:pPr>
        <w:pStyle w:val="ListBullet"/>
      </w:pPr>
      <w:r>
        <w:t>Entry timing quality</w:t>
      </w:r>
    </w:p>
    <w:p>
      <w:pPr>
        <w:pStyle w:val="ListBullet"/>
      </w:pPr>
      <w:r>
        <w:t>False breakout rate</w:t>
      </w:r>
    </w:p>
    <w:p>
      <w:pPr>
        <w:pStyle w:val="ListBullet"/>
      </w:pPr>
      <w:r>
        <w:t>Average entry efficiency</w:t>
      </w:r>
    </w:p>
    <w:p>
      <w:pPr>
        <w:pStyle w:val="ListBullet"/>
      </w:pPr>
      <w:r>
        <w:t>Drawdown reduction</w:t>
      </w:r>
    </w:p>
    <w:p>
      <w:pPr>
        <w:pStyle w:val="ListBullet"/>
      </w:pPr>
      <w:r>
        <w:t>Alignment with fundamental thesis</w:t>
      </w:r>
    </w:p>
    <w:p>
      <w:pPr>
        <w:pStyle w:val="Heading2"/>
      </w:pPr>
      <w:r>
        <w:t>11. Failure Modes</w:t>
      </w:r>
    </w:p>
    <w:p>
      <w:pPr>
        <w:pStyle w:val="ListBullet"/>
      </w:pPr>
      <w:r>
        <w:t>Buying extended stocks</w:t>
      </w:r>
    </w:p>
    <w:p>
      <w:pPr>
        <w:pStyle w:val="ListBullet"/>
      </w:pPr>
      <w:r>
        <w:t>Overriding economic thesis with weak technicals</w:t>
      </w:r>
    </w:p>
    <w:p>
      <w:pPr>
        <w:pStyle w:val="ListBullet"/>
      </w:pPr>
      <w:r>
        <w:t>False breakout confirmation</w:t>
      </w:r>
    </w:p>
    <w:p>
      <w:pPr>
        <w:pStyle w:val="ListBullet"/>
      </w:pPr>
      <w:r>
        <w:t>Ignoring market regime</w:t>
      </w:r>
    </w:p>
    <w:p>
      <w:pPr>
        <w:pStyle w:val="Heading2"/>
      </w:pPr>
      <w:r>
        <w:t>12. Dependencies</w:t>
      </w:r>
    </w:p>
    <w:p>
      <w:r>
        <w:br/>
        <w:t>Depends on:</w:t>
        <w:br/>
        <w:t>GPSR-018 Candidate Company Discovery</w:t>
        <w:br/>
        <w:t>GPSR-019 Leadership Intelligence</w:t>
        <w:br/>
        <w:br/>
        <w:t>Referenced by:</w:t>
        <w:br/>
        <w:t>GPSR-021 Capital Allocation Engine</w:t>
        <w:br/>
        <w:t>GPSR-022 Exit &amp; Capital Rotation Engine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