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GPSR-021 Capital Allocation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Convert validated investment opportunities into portfolio decisions. Allocate capital according to expected asymmetry, confidence, risk, and opportunity cost.</w:t>
      </w:r>
    </w:p>
    <w:p>
      <w:pPr>
        <w:pStyle w:val="Heading2"/>
      </w:pPr>
      <w:r>
        <w:t>2. Guiding Principles</w:t>
      </w:r>
    </w:p>
    <w:p>
      <w:pPr>
        <w:pStyle w:val="ListBullet"/>
      </w:pPr>
      <w:r>
        <w:t>Allocate capital only after the complete discovery pipeline is satisfied.</w:t>
      </w:r>
    </w:p>
    <w:p>
      <w:pPr>
        <w:pStyle w:val="ListBullet"/>
      </w:pPr>
      <w:r>
        <w:t>Size positions based on expected asymmetry, not conviction alone.</w:t>
      </w:r>
    </w:p>
    <w:p>
      <w:pPr>
        <w:pStyle w:val="ListBullet"/>
      </w:pPr>
      <w:r>
        <w:t>Treat cash as a strategic asset.</w:t>
      </w:r>
    </w:p>
    <w:p>
      <w:pPr>
        <w:pStyle w:val="ListBullet"/>
      </w:pPr>
      <w:r>
        <w:t>Continuously compare all opportunities for relative attractiveness.</w:t>
      </w:r>
    </w:p>
    <w:p>
      <w:pPr>
        <w:pStyle w:val="ListBullet"/>
      </w:pPr>
      <w:r>
        <w:t>Preserve capital for future higher-asymmetry opportunities.</w:t>
      </w:r>
    </w:p>
    <w:p>
      <w:pPr>
        <w:pStyle w:val="Heading2"/>
      </w:pPr>
      <w:r>
        <w:t>3. Inputs</w:t>
      </w:r>
    </w:p>
    <w:p>
      <w:pPr>
        <w:pStyle w:val="ListBullet"/>
      </w:pPr>
      <w:r>
        <w:t>Candidate Company Set</w:t>
      </w:r>
    </w:p>
    <w:p>
      <w:pPr>
        <w:pStyle w:val="ListBullet"/>
      </w:pPr>
      <w:r>
        <w:t>Leadership Assessment</w:t>
      </w:r>
    </w:p>
    <w:p>
      <w:pPr>
        <w:pStyle w:val="ListBullet"/>
      </w:pPr>
      <w:r>
        <w:t>Technical Timing Assessment</w:t>
      </w:r>
    </w:p>
    <w:p>
      <w:pPr>
        <w:pStyle w:val="ListBullet"/>
      </w:pPr>
      <w:r>
        <w:t>Historical Match Report</w:t>
      </w:r>
    </w:p>
    <w:p>
      <w:pPr>
        <w:pStyle w:val="ListBullet"/>
      </w:pPr>
      <w:r>
        <w:t>Portfolio constraints</w:t>
      </w:r>
    </w:p>
    <w:p>
      <w:pPr>
        <w:pStyle w:val="ListBullet"/>
      </w:pPr>
      <w:r>
        <w:t>Risk model</w:t>
      </w:r>
    </w:p>
    <w:p>
      <w:pPr>
        <w:pStyle w:val="Heading2"/>
      </w:pPr>
      <w:r>
        <w:t>4. Outputs</w:t>
      </w:r>
    </w:p>
    <w:p>
      <w:pPr>
        <w:pStyle w:val="ListBullet"/>
      </w:pPr>
      <w:r>
        <w:t>Position size recommendation</w:t>
      </w:r>
    </w:p>
    <w:p>
      <w:pPr>
        <w:pStyle w:val="ListBullet"/>
      </w:pPr>
      <w:r>
        <w:t>Initial allocation</w:t>
      </w:r>
    </w:p>
    <w:p>
      <w:pPr>
        <w:pStyle w:val="ListBullet"/>
      </w:pPr>
      <w:r>
        <w:t>Pyramiding plan</w:t>
      </w:r>
    </w:p>
    <w:p>
      <w:pPr>
        <w:pStyle w:val="ListBullet"/>
      </w:pPr>
      <w:r>
        <w:t>Risk budget</w:t>
      </w:r>
    </w:p>
    <w:p>
      <w:pPr>
        <w:pStyle w:val="ListBullet"/>
      </w:pPr>
      <w:r>
        <w:t>Portfolio rebalance actions</w:t>
      </w:r>
    </w:p>
    <w:p>
      <w:pPr>
        <w:pStyle w:val="ListBullet"/>
      </w:pPr>
      <w:r>
        <w:t>Opportunity ranking</w:t>
      </w:r>
    </w:p>
    <w:p>
      <w:pPr>
        <w:pStyle w:val="Heading2"/>
      </w:pPr>
      <w:r>
        <w:t>5. Allocation Dimensions</w:t>
      </w:r>
    </w:p>
    <w:p>
      <w:pPr>
        <w:pStyle w:val="ListBullet"/>
      </w:pPr>
      <w:r>
        <w:t>Expected asymmetry</w:t>
      </w:r>
    </w:p>
    <w:p>
      <w:pPr>
        <w:pStyle w:val="ListBullet"/>
      </w:pPr>
      <w:r>
        <w:t>Historical analogue strength</w:t>
      </w:r>
    </w:p>
    <w:p>
      <w:pPr>
        <w:pStyle w:val="ListBullet"/>
      </w:pPr>
      <w:r>
        <w:t>Leadership quality</w:t>
      </w:r>
    </w:p>
    <w:p>
      <w:pPr>
        <w:pStyle w:val="ListBullet"/>
      </w:pPr>
      <w:r>
        <w:t>Technical readiness</w:t>
      </w:r>
    </w:p>
    <w:p>
      <w:pPr>
        <w:pStyle w:val="ListBullet"/>
      </w:pPr>
      <w:r>
        <w:t>Portfolio correlation</w:t>
      </w:r>
    </w:p>
    <w:p>
      <w:pPr>
        <w:pStyle w:val="ListBullet"/>
      </w:pPr>
      <w:r>
        <w:t>Liquidity</w:t>
      </w:r>
    </w:p>
    <w:p>
      <w:pPr>
        <w:pStyle w:val="ListBullet"/>
      </w:pPr>
      <w:r>
        <w:t>Downside risk</w:t>
      </w:r>
    </w:p>
    <w:p>
      <w:pPr>
        <w:pStyle w:val="ListBullet"/>
      </w:pPr>
      <w:r>
        <w:t>Time horizon</w:t>
      </w:r>
    </w:p>
    <w:p>
      <w:pPr>
        <w:pStyle w:val="ListBullet"/>
      </w:pPr>
      <w:r>
        <w:t>Capital opportunity cost</w:t>
      </w:r>
    </w:p>
    <w:p>
      <w:pPr>
        <w:pStyle w:val="Heading2"/>
      </w:pPr>
      <w:r>
        <w:t>6. Allocation States</w:t>
      </w:r>
    </w:p>
    <w:p>
      <w:pPr>
        <w:pStyle w:val="ListBullet"/>
      </w:pPr>
      <w:r>
        <w:t>Observe</w:t>
      </w:r>
    </w:p>
    <w:p>
      <w:pPr>
        <w:pStyle w:val="ListBullet"/>
      </w:pPr>
      <w:r>
        <w:t>Starter Position</w:t>
      </w:r>
    </w:p>
    <w:p>
      <w:pPr>
        <w:pStyle w:val="ListBullet"/>
      </w:pPr>
      <w:r>
        <w:t>Build Position</w:t>
      </w:r>
    </w:p>
    <w:p>
      <w:pPr>
        <w:pStyle w:val="ListBullet"/>
      </w:pPr>
      <w:r>
        <w:t>Full Allocation</w:t>
      </w:r>
    </w:p>
    <w:p>
      <w:pPr>
        <w:pStyle w:val="ListBullet"/>
      </w:pPr>
      <w:r>
        <w:t>Trim</w:t>
      </w:r>
    </w:p>
    <w:p>
      <w:pPr>
        <w:pStyle w:val="ListBullet"/>
      </w:pPr>
      <w:r>
        <w:t>Exit</w:t>
      </w:r>
    </w:p>
    <w:p>
      <w:pPr>
        <w:pStyle w:val="ListBullet"/>
      </w:pPr>
      <w:r>
        <w:t>Recycle Capital</w:t>
      </w:r>
    </w:p>
    <w:p>
      <w:pPr>
        <w:pStyle w:val="Heading2"/>
      </w:pPr>
      <w:r>
        <w:t>7. Processing Pipeline</w:t>
      </w:r>
    </w:p>
    <w:p>
      <w:pPr>
        <w:pStyle w:val="ListNumber"/>
      </w:pPr>
      <w:r>
        <w:t>Rank opportunities</w:t>
      </w:r>
    </w:p>
    <w:p>
      <w:pPr>
        <w:pStyle w:val="ListNumber"/>
      </w:pPr>
      <w:r>
        <w:t>Estimate expected asymmetry</w:t>
      </w:r>
    </w:p>
    <w:p>
      <w:pPr>
        <w:pStyle w:val="ListNumber"/>
      </w:pPr>
      <w:r>
        <w:t>Evaluate portfolio interactions</w:t>
      </w:r>
    </w:p>
    <w:p>
      <w:pPr>
        <w:pStyle w:val="ListNumber"/>
      </w:pPr>
      <w:r>
        <w:t>Allocate risk budget</w:t>
      </w:r>
    </w:p>
    <w:p>
      <w:pPr>
        <w:pStyle w:val="ListNumber"/>
      </w:pPr>
      <w:r>
        <w:t>Recommend position size</w:t>
      </w:r>
    </w:p>
    <w:p>
      <w:pPr>
        <w:pStyle w:val="ListNumber"/>
      </w:pPr>
      <w:r>
        <w:t>Generate pyramiding schedule</w:t>
      </w:r>
    </w:p>
    <w:p>
      <w:pPr>
        <w:pStyle w:val="ListNumber"/>
      </w:pPr>
      <w:r>
        <w:t>Publish allocation plan</w:t>
      </w:r>
    </w:p>
    <w:p>
      <w:pPr>
        <w:pStyle w:val="Heading2"/>
      </w:pPr>
      <w:r>
        <w:t>8. Canonical Schema</w:t>
      </w:r>
    </w:p>
    <w:p>
      <w:r>
        <w:br/>
        <w:t>capital_allocation:</w:t>
        <w:br/>
        <w:t xml:space="preserve">  ticker:</w:t>
        <w:br/>
        <w:t xml:space="preserve">  opportunity_rank:</w:t>
        <w:br/>
        <w:t xml:space="preserve">  allocation_state:</w:t>
        <w:br/>
        <w:t xml:space="preserve">  target_weight:</w:t>
        <w:br/>
        <w:t xml:space="preserve">  starter_weight:</w:t>
        <w:br/>
        <w:t xml:space="preserve">  max_weight:</w:t>
        <w:br/>
        <w:t xml:space="preserve">  pyramiding_plan: []</w:t>
        <w:br/>
        <w:t xml:space="preserve">  risk_budget:</w:t>
        <w:br/>
        <w:t xml:space="preserve">  confidence:</w:t>
        <w:br/>
      </w:r>
    </w:p>
    <w:p>
      <w:pPr>
        <w:pStyle w:val="Heading2"/>
      </w:pPr>
      <w:r>
        <w:t>9. APIs</w:t>
      </w:r>
    </w:p>
    <w:p>
      <w:pPr>
        <w:pStyle w:val="ListBullet"/>
      </w:pPr>
      <w:r>
        <w:t>AllocateCapital()</w:t>
      </w:r>
    </w:p>
    <w:p>
      <w:pPr>
        <w:pStyle w:val="ListBullet"/>
      </w:pPr>
      <w:r>
        <w:t>RankOpportunities()</w:t>
      </w:r>
    </w:p>
    <w:p>
      <w:pPr>
        <w:pStyle w:val="ListBullet"/>
      </w:pPr>
      <w:r>
        <w:t>RecommendPositionSize()</w:t>
      </w:r>
    </w:p>
    <w:p>
      <w:pPr>
        <w:pStyle w:val="ListBullet"/>
      </w:pPr>
      <w:r>
        <w:t>GeneratePyramidingPlan()</w:t>
      </w:r>
    </w:p>
    <w:p>
      <w:pPr>
        <w:pStyle w:val="ListBullet"/>
      </w:pPr>
      <w:r>
        <w:t>PublishAllocationPlan()</w:t>
      </w:r>
    </w:p>
    <w:p>
      <w:pPr>
        <w:pStyle w:val="Heading2"/>
      </w:pPr>
      <w:r>
        <w:t>10. KPIs</w:t>
      </w:r>
    </w:p>
    <w:p>
      <w:pPr>
        <w:pStyle w:val="ListBullet"/>
      </w:pPr>
      <w:r>
        <w:t>Portfolio CAGR</w:t>
      </w:r>
    </w:p>
    <w:p>
      <w:pPr>
        <w:pStyle w:val="ListBullet"/>
      </w:pPr>
      <w:r>
        <w:t>Risk-adjusted return</w:t>
      </w:r>
    </w:p>
    <w:p>
      <w:pPr>
        <w:pStyle w:val="ListBullet"/>
      </w:pPr>
      <w:r>
        <w:t>Capital efficiency</w:t>
      </w:r>
    </w:p>
    <w:p>
      <w:pPr>
        <w:pStyle w:val="ListBullet"/>
      </w:pPr>
      <w:r>
        <w:t>Opportunity capture rate</w:t>
      </w:r>
    </w:p>
    <w:p>
      <w:pPr>
        <w:pStyle w:val="ListBullet"/>
      </w:pPr>
      <w:r>
        <w:t>Maximum drawdown</w:t>
      </w:r>
    </w:p>
    <w:p>
      <w:pPr>
        <w:pStyle w:val="ListBullet"/>
      </w:pPr>
      <w:r>
        <w:t>Cash deployment efficiency</w:t>
      </w:r>
    </w:p>
    <w:p>
      <w:pPr>
        <w:pStyle w:val="Heading2"/>
      </w:pPr>
      <w:r>
        <w:t>11. Failure Modes</w:t>
      </w:r>
    </w:p>
    <w:p>
      <w:pPr>
        <w:pStyle w:val="ListBullet"/>
      </w:pPr>
      <w:r>
        <w:t>Overconcentration</w:t>
      </w:r>
    </w:p>
    <w:p>
      <w:pPr>
        <w:pStyle w:val="ListBullet"/>
      </w:pPr>
      <w:r>
        <w:t>Underallocating to exceptional opportunities</w:t>
      </w:r>
    </w:p>
    <w:p>
      <w:pPr>
        <w:pStyle w:val="ListBullet"/>
      </w:pPr>
      <w:r>
        <w:t>Ignoring correlation risk</w:t>
      </w:r>
    </w:p>
    <w:p>
      <w:pPr>
        <w:pStyle w:val="ListBullet"/>
      </w:pPr>
      <w:r>
        <w:t>Premature full allocation</w:t>
      </w:r>
    </w:p>
    <w:p>
      <w:pPr>
        <w:pStyle w:val="ListBullet"/>
      </w:pPr>
      <w:r>
        <w:t>Holding cash without strategic reason</w:t>
      </w:r>
    </w:p>
    <w:p>
      <w:pPr>
        <w:pStyle w:val="Heading2"/>
      </w:pPr>
      <w:r>
        <w:t>12. Dependencies</w:t>
      </w:r>
    </w:p>
    <w:p>
      <w:r>
        <w:br/>
        <w:t>Depends on:</w:t>
        <w:br/>
        <w:t>GPSR-019 Leadership Intelligence</w:t>
        <w:br/>
        <w:t>GPSR-020 Technical Timing Engine</w:t>
        <w:br/>
        <w:br/>
        <w:t>Referenced by:</w:t>
        <w:br/>
        <w:t>GPSR-022 Exit &amp; Capital Rotation Engine</w:t>
        <w:br/>
        <w:t>GPSR-023 Personal CIO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