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GPSR-025 Scientific Council &amp; Red Team Framework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Provide scientific governance for Genesis. Every major hypothesis, Knowledge Object, model update, and architectural change is proposed, challenged, validated, and approved through structured expert review.</w:t>
      </w:r>
    </w:p>
    <w:p>
      <w:pPr>
        <w:pStyle w:val="Heading2"/>
      </w:pPr>
      <w:r>
        <w:t>2. Governance Principles</w:t>
      </w:r>
    </w:p>
    <w:p>
      <w:pPr>
        <w:pStyle w:val="ListBullet"/>
      </w:pPr>
      <w:r>
        <w:t>Evidence over opinion.</w:t>
      </w:r>
    </w:p>
    <w:p>
      <w:pPr>
        <w:pStyle w:val="ListBullet"/>
      </w:pPr>
      <w:r>
        <w:t>Multiple competing hypotheses are encouraged.</w:t>
      </w:r>
    </w:p>
    <w:p>
      <w:pPr>
        <w:pStyle w:val="ListBullet"/>
      </w:pPr>
      <w:r>
        <w:t>No Knowledge Object is promoted without challenge.</w:t>
      </w:r>
    </w:p>
    <w:p>
      <w:pPr>
        <w:pStyle w:val="ListBullet"/>
      </w:pPr>
      <w:r>
        <w:t>Historical replay is required before publication.</w:t>
      </w:r>
    </w:p>
    <w:p>
      <w:pPr>
        <w:pStyle w:val="ListBullet"/>
      </w:pPr>
      <w:r>
        <w:t>All decisions are fully auditable.</w:t>
      </w:r>
    </w:p>
    <w:p>
      <w:pPr>
        <w:pStyle w:val="Heading2"/>
      </w:pPr>
      <w:r>
        <w:t>3. Council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Board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Scientific Council</w:t>
            </w:r>
          </w:p>
        </w:tc>
        <w:tc>
          <w:tcPr>
            <w:tcW w:type="dxa" w:w="4320"/>
          </w:tcPr>
          <w:p>
            <w:r>
              <w:t>Synthesizes evidence and recommends scientific conclusions.</w:t>
            </w:r>
          </w:p>
        </w:tc>
      </w:tr>
      <w:tr>
        <w:tc>
          <w:tcPr>
            <w:tcW w:type="dxa" w:w="4320"/>
          </w:tcPr>
          <w:p>
            <w:r>
              <w:t>SME Panels</w:t>
            </w:r>
          </w:p>
        </w:tc>
        <w:tc>
          <w:tcPr>
            <w:tcW w:type="dxa" w:w="4320"/>
          </w:tcPr>
          <w:p>
            <w:r>
              <w:t>Domain experts in semiconductors, AI, biotech, macroeconomics, energy, logistics, etc.</w:t>
            </w:r>
          </w:p>
        </w:tc>
      </w:tr>
      <w:tr>
        <w:tc>
          <w:tcPr>
            <w:tcW w:type="dxa" w:w="4320"/>
          </w:tcPr>
          <w:p>
            <w:r>
              <w:t>Red Team</w:t>
            </w:r>
          </w:p>
        </w:tc>
        <w:tc>
          <w:tcPr>
            <w:tcW w:type="dxa" w:w="4320"/>
          </w:tcPr>
          <w:p>
            <w:r>
              <w:t>Attempts to falsify hypotheses and expose weak assumptions.</w:t>
            </w:r>
          </w:p>
        </w:tc>
      </w:tr>
      <w:tr>
        <w:tc>
          <w:tcPr>
            <w:tcW w:type="dxa" w:w="4320"/>
          </w:tcPr>
          <w:p>
            <w:r>
              <w:t>Architecture Board</w:t>
            </w:r>
          </w:p>
        </w:tc>
        <w:tc>
          <w:tcPr>
            <w:tcW w:type="dxa" w:w="4320"/>
          </w:tcPr>
          <w:p>
            <w:r>
              <w:t>Evaluates system-wide design changes.</w:t>
            </w:r>
          </w:p>
        </w:tc>
      </w:tr>
      <w:tr>
        <w:tc>
          <w:tcPr>
            <w:tcW w:type="dxa" w:w="4320"/>
          </w:tcPr>
          <w:p>
            <w:r>
              <w:t>Publication Board</w:t>
            </w:r>
          </w:p>
        </w:tc>
        <w:tc>
          <w:tcPr>
            <w:tcW w:type="dxa" w:w="4320"/>
          </w:tcPr>
          <w:p>
            <w:r>
              <w:t>Approves promotion into Genesis Experience Layer.</w:t>
            </w:r>
          </w:p>
        </w:tc>
      </w:tr>
    </w:tbl>
    <w:p>
      <w:pPr>
        <w:pStyle w:val="Heading2"/>
      </w:pPr>
      <w:r>
        <w:t>4. Review Workflow</w:t>
      </w:r>
    </w:p>
    <w:p>
      <w:pPr>
        <w:pStyle w:val="ListNumber"/>
      </w:pPr>
      <w:r>
        <w:t>Generate hypothesis</w:t>
      </w:r>
    </w:p>
    <w:p>
      <w:pPr>
        <w:pStyle w:val="ListNumber"/>
      </w:pPr>
      <w:r>
        <w:t>Collect supporting evidence</w:t>
      </w:r>
    </w:p>
    <w:p>
      <w:pPr>
        <w:pStyle w:val="ListNumber"/>
      </w:pPr>
      <w:r>
        <w:t>SME review</w:t>
      </w:r>
    </w:p>
    <w:p>
      <w:pPr>
        <w:pStyle w:val="ListNumber"/>
      </w:pPr>
      <w:r>
        <w:t>Red Team challenge</w:t>
      </w:r>
    </w:p>
    <w:p>
      <w:pPr>
        <w:pStyle w:val="ListNumber"/>
      </w:pPr>
      <w:r>
        <w:t>Historical replay validation</w:t>
      </w:r>
    </w:p>
    <w:p>
      <w:pPr>
        <w:pStyle w:val="ListNumber"/>
      </w:pPr>
      <w:r>
        <w:t>Confidence calibration</w:t>
      </w:r>
    </w:p>
    <w:p>
      <w:pPr>
        <w:pStyle w:val="ListNumber"/>
      </w:pPr>
      <w:r>
        <w:t>Publication vote</w:t>
      </w:r>
    </w:p>
    <w:p>
      <w:pPr>
        <w:pStyle w:val="ListNumber"/>
      </w:pPr>
      <w:r>
        <w:t>Promote to Genesis</w:t>
      </w:r>
    </w:p>
    <w:p>
      <w:pPr>
        <w:pStyle w:val="ListNumber"/>
      </w:pPr>
      <w:r>
        <w:t>Monitor real-world outcomes</w:t>
      </w:r>
    </w:p>
    <w:p>
      <w:pPr>
        <w:pStyle w:val="Heading2"/>
      </w:pPr>
      <w:r>
        <w:t>5. Decision Record Schema</w:t>
      </w:r>
    </w:p>
    <w:p>
      <w:r>
        <w:br/>
        <w:t>review_record:</w:t>
        <w:br/>
        <w:t xml:space="preserve">  proposal_id:</w:t>
        <w:br/>
        <w:t xml:space="preserve">  hypothesis:</w:t>
        <w:br/>
        <w:t xml:space="preserve">  supporting_evidence: []</w:t>
        <w:br/>
        <w:t xml:space="preserve">  contradicting_evidence: []</w:t>
        <w:br/>
        <w:t xml:space="preserve">  council_recommendation:</w:t>
        <w:br/>
        <w:t xml:space="preserve">  red_team_findings: []</w:t>
        <w:br/>
        <w:t xml:space="preserve">  replay_results:</w:t>
        <w:br/>
        <w:t xml:space="preserve">  publication_decision:</w:t>
        <w:br/>
        <w:t xml:space="preserve">  confidence:</w:t>
        <w:br/>
      </w:r>
    </w:p>
    <w:p>
      <w:pPr>
        <w:pStyle w:val="Heading2"/>
      </w:pPr>
      <w:r>
        <w:t>6. Quality Gates</w:t>
      </w:r>
    </w:p>
    <w:p>
      <w:pPr>
        <w:pStyle w:val="ListBullet"/>
      </w:pPr>
      <w:r>
        <w:t>Evidence completeness</w:t>
      </w:r>
    </w:p>
    <w:p>
      <w:pPr>
        <w:pStyle w:val="ListBullet"/>
      </w:pPr>
      <w:r>
        <w:t>Counter-evidence documented</w:t>
      </w:r>
    </w:p>
    <w:p>
      <w:pPr>
        <w:pStyle w:val="ListBullet"/>
      </w:pPr>
      <w:r>
        <w:t>Historical replay passes</w:t>
      </w:r>
    </w:p>
    <w:p>
      <w:pPr>
        <w:pStyle w:val="ListBullet"/>
      </w:pPr>
      <w:r>
        <w:t>Knowledge Object consistency</w:t>
      </w:r>
    </w:p>
    <w:p>
      <w:pPr>
        <w:pStyle w:val="ListBullet"/>
      </w:pPr>
      <w:r>
        <w:t>Ontology compliance</w:t>
      </w:r>
    </w:p>
    <w:p>
      <w:pPr>
        <w:pStyle w:val="ListBullet"/>
      </w:pPr>
      <w:r>
        <w:t>Cross-reference validation</w:t>
      </w:r>
    </w:p>
    <w:p>
      <w:pPr>
        <w:pStyle w:val="Heading2"/>
      </w:pPr>
      <w:r>
        <w:t>7. APIs</w:t>
      </w:r>
    </w:p>
    <w:p>
      <w:pPr>
        <w:pStyle w:val="ListBullet"/>
      </w:pPr>
      <w:r>
        <w:t>SubmitHypothesis()</w:t>
      </w:r>
    </w:p>
    <w:p>
      <w:pPr>
        <w:pStyle w:val="ListBullet"/>
      </w:pPr>
      <w:r>
        <w:t>AssignSMEReview()</w:t>
      </w:r>
    </w:p>
    <w:p>
      <w:pPr>
        <w:pStyle w:val="ListBullet"/>
      </w:pPr>
      <w:r>
        <w:t>RunRedTeamReview()</w:t>
      </w:r>
    </w:p>
    <w:p>
      <w:pPr>
        <w:pStyle w:val="ListBullet"/>
      </w:pPr>
      <w:r>
        <w:t>ApprovePublication()</w:t>
      </w:r>
    </w:p>
    <w:p>
      <w:pPr>
        <w:pStyle w:val="ListBullet"/>
      </w:pPr>
      <w:r>
        <w:t>ArchiveDecisionRecord()</w:t>
      </w:r>
    </w:p>
    <w:p>
      <w:pPr>
        <w:pStyle w:val="Heading2"/>
      </w:pPr>
      <w:r>
        <w:t>8. KPIs</w:t>
      </w:r>
    </w:p>
    <w:p>
      <w:pPr>
        <w:pStyle w:val="ListBullet"/>
      </w:pPr>
      <w:r>
        <w:t>False knowledge promotion rate</w:t>
      </w:r>
    </w:p>
    <w:p>
      <w:pPr>
        <w:pStyle w:val="ListBullet"/>
      </w:pPr>
      <w:r>
        <w:t>Review turnaround time</w:t>
      </w:r>
    </w:p>
    <w:p>
      <w:pPr>
        <w:pStyle w:val="ListBullet"/>
      </w:pPr>
      <w:r>
        <w:t>Historical replay success</w:t>
      </w:r>
    </w:p>
    <w:p>
      <w:pPr>
        <w:pStyle w:val="ListBullet"/>
      </w:pPr>
      <w:r>
        <w:t>Prediction improvement after publication</w:t>
      </w:r>
    </w:p>
    <w:p>
      <w:pPr>
        <w:pStyle w:val="ListBullet"/>
      </w:pPr>
      <w:r>
        <w:t>Governance audit completeness</w:t>
      </w:r>
    </w:p>
    <w:p>
      <w:pPr>
        <w:pStyle w:val="Heading2"/>
      </w:pPr>
      <w:r>
        <w:t>9. Dependencies</w:t>
      </w:r>
    </w:p>
    <w:p>
      <w:r>
        <w:br/>
        <w:t>Depends on:</w:t>
        <w:br/>
        <w:t>GPSR-006 Knowledge Object Specification</w:t>
        <w:br/>
        <w:t>GPSR-024 Recursive Self-Improvement Engine</w:t>
        <w:br/>
        <w:br/>
        <w:t>Referenced by:</w:t>
        <w:br/>
        <w:t>Genesis Experience Layer</w:t>
        <w:br/>
        <w:t>Knowledge Object Repository</w:t>
        <w:br/>
        <w:t>All future scientific publications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