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GPSR-029 Multi-Agent Orchestration Framework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Coordinate specialized agents across Genesis, Prometheus, and the Personal CIO so that complex investment reasoning is decomposed into parallel, explainable workflows.</w:t>
      </w:r>
    </w:p>
    <w:p>
      <w:pPr>
        <w:pStyle w:val="Heading2"/>
      </w:pPr>
      <w:r>
        <w:t>2. Agent Design Principles</w:t>
      </w:r>
    </w:p>
    <w:p>
      <w:pPr>
        <w:pStyle w:val="ListBullet"/>
      </w:pPr>
      <w:r>
        <w:t>Single responsibility per agent.</w:t>
      </w:r>
    </w:p>
    <w:p>
      <w:pPr>
        <w:pStyle w:val="ListBullet"/>
      </w:pPr>
      <w:r>
        <w:t>Evidence-first communication.</w:t>
      </w:r>
    </w:p>
    <w:p>
      <w:pPr>
        <w:pStyle w:val="ListBullet"/>
      </w:pPr>
      <w:r>
        <w:t>Shared ontology and schemas.</w:t>
      </w:r>
    </w:p>
    <w:p>
      <w:pPr>
        <w:pStyle w:val="ListBullet"/>
      </w:pPr>
      <w:r>
        <w:t>Deterministic orchestration with auditable decisions.</w:t>
      </w:r>
    </w:p>
    <w:p>
      <w:pPr>
        <w:pStyle w:val="ListBullet"/>
      </w:pPr>
      <w:r>
        <w:t>Scientific Council and Red Team participate as peer agents.</w:t>
      </w:r>
    </w:p>
    <w:p>
      <w:pPr>
        <w:pStyle w:val="Heading2"/>
      </w:pPr>
      <w:r>
        <w:t>3. Core Agent Classes</w:t>
      </w:r>
    </w:p>
    <w:p>
      <w:pPr>
        <w:pStyle w:val="ListBullet"/>
      </w:pPr>
      <w:r>
        <w:t>World State</w:t>
      </w:r>
    </w:p>
    <w:p>
      <w:pPr>
        <w:pStyle w:val="ListBullet"/>
      </w:pPr>
      <w:r>
        <w:t>Signal</w:t>
      </w:r>
    </w:p>
    <w:p>
      <w:pPr>
        <w:pStyle w:val="ListBullet"/>
      </w:pPr>
      <w:r>
        <w:t>Event</w:t>
      </w:r>
    </w:p>
    <w:p>
      <w:pPr>
        <w:pStyle w:val="ListBullet"/>
      </w:pPr>
      <w:r>
        <w:t>Theme</w:t>
      </w:r>
    </w:p>
    <w:p>
      <w:pPr>
        <w:pStyle w:val="ListBullet"/>
      </w:pPr>
      <w:r>
        <w:t>Value Chain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Constraint</w:t>
      </w:r>
    </w:p>
    <w:p>
      <w:pPr>
        <w:pStyle w:val="ListBullet"/>
      </w:pPr>
      <w:r>
        <w:t>Bottleneck</w:t>
      </w:r>
    </w:p>
    <w:p>
      <w:pPr>
        <w:pStyle w:val="ListBullet"/>
      </w:pPr>
      <w:r>
        <w:t>Value Capture</w:t>
      </w:r>
    </w:p>
    <w:p>
      <w:pPr>
        <w:pStyle w:val="ListBullet"/>
      </w:pPr>
      <w:r>
        <w:t>Historical Matching</w:t>
      </w:r>
    </w:p>
    <w:p>
      <w:pPr>
        <w:pStyle w:val="ListBullet"/>
      </w:pPr>
      <w:r>
        <w:t>Company Discovery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Technical Timing</w:t>
      </w:r>
    </w:p>
    <w:p>
      <w:pPr>
        <w:pStyle w:val="ListBullet"/>
      </w:pPr>
      <w:r>
        <w:t>Capital Allocation</w:t>
      </w:r>
    </w:p>
    <w:p>
      <w:pPr>
        <w:pStyle w:val="ListBullet"/>
      </w:pPr>
      <w:r>
        <w:t>Exit &amp; Rotation</w:t>
      </w:r>
    </w:p>
    <w:p>
      <w:pPr>
        <w:pStyle w:val="ListBullet"/>
      </w:pPr>
      <w:r>
        <w:t>Scientific Council</w:t>
      </w:r>
    </w:p>
    <w:p>
      <w:pPr>
        <w:pStyle w:val="ListBullet"/>
      </w:pPr>
      <w:r>
        <w:t>SME</w:t>
      </w:r>
    </w:p>
    <w:p>
      <w:pPr>
        <w:pStyle w:val="ListBullet"/>
      </w:pPr>
      <w:r>
        <w:t>Red Team</w:t>
      </w:r>
    </w:p>
    <w:p>
      <w:pPr>
        <w:pStyle w:val="ListBullet"/>
      </w:pPr>
      <w:r>
        <w:t>Personal CIO</w:t>
      </w:r>
    </w:p>
    <w:p>
      <w:pPr>
        <w:pStyle w:val="Heading2"/>
      </w:pPr>
      <w:r>
        <w:t>4. Orchestration Lifecycle</w:t>
      </w:r>
    </w:p>
    <w:p>
      <w:pPr>
        <w:pStyle w:val="ListNumber"/>
      </w:pPr>
      <w:r>
        <w:t>Receive trigger</w:t>
      </w:r>
    </w:p>
    <w:p>
      <w:pPr>
        <w:pStyle w:val="ListNumber"/>
      </w:pPr>
      <w:r>
        <w:t>Plan workflow</w:t>
      </w:r>
    </w:p>
    <w:p>
      <w:pPr>
        <w:pStyle w:val="ListNumber"/>
      </w:pPr>
      <w:r>
        <w:t>Spawn required agents</w:t>
      </w:r>
    </w:p>
    <w:p>
      <w:pPr>
        <w:pStyle w:val="ListNumber"/>
      </w:pPr>
      <w:r>
        <w:t>Execute in parallel where possible</w:t>
      </w:r>
    </w:p>
    <w:p>
      <w:pPr>
        <w:pStyle w:val="ListNumber"/>
      </w:pPr>
      <w:r>
        <w:t>Merge evidence</w:t>
      </w:r>
    </w:p>
    <w:p>
      <w:pPr>
        <w:pStyle w:val="ListNumber"/>
      </w:pPr>
      <w:r>
        <w:t>Resolve conflicts</w:t>
      </w:r>
    </w:p>
    <w:p>
      <w:pPr>
        <w:pStyle w:val="ListNumber"/>
      </w:pPr>
      <w:r>
        <w:t>Request Council/Red Team review if required</w:t>
      </w:r>
    </w:p>
    <w:p>
      <w:pPr>
        <w:pStyle w:val="ListNumber"/>
      </w:pPr>
      <w:r>
        <w:t>Publish reasoning graph</w:t>
      </w:r>
    </w:p>
    <w:p>
      <w:pPr>
        <w:pStyle w:val="ListNumber"/>
      </w:pPr>
      <w:r>
        <w:t>Persist Alpha Checkpoints</w:t>
      </w:r>
    </w:p>
    <w:p>
      <w:pPr>
        <w:pStyle w:val="Heading2"/>
      </w:pPr>
      <w:r>
        <w:t>5. Communication Contract</w:t>
      </w:r>
    </w:p>
    <w:p>
      <w:r>
        <w:t>Agents exchange structured objects only (Signals, Events, Themes, Knowledge Objects, World Graphs, Alpha Checkpoints). Free-form reasoning is preserved for audit but not used as APIs.</w:t>
      </w:r>
    </w:p>
    <w:p>
      <w:pPr>
        <w:pStyle w:val="Heading2"/>
      </w:pPr>
      <w:r>
        <w:t>6. Failure Handling</w:t>
      </w:r>
    </w:p>
    <w:p>
      <w:pPr>
        <w:pStyle w:val="ListBullet"/>
      </w:pPr>
      <w:r>
        <w:t>Retry transient failures</w:t>
      </w:r>
    </w:p>
    <w:p>
      <w:pPr>
        <w:pStyle w:val="ListBullet"/>
      </w:pPr>
      <w:r>
        <w:t>Escalate conflicting conclusions</w:t>
      </w:r>
    </w:p>
    <w:p>
      <w:pPr>
        <w:pStyle w:val="ListBullet"/>
      </w:pPr>
      <w:r>
        <w:t>Quarantine low-confidence outputs</w:t>
      </w:r>
    </w:p>
    <w:p>
      <w:pPr>
        <w:pStyle w:val="ListBullet"/>
      </w:pPr>
      <w:r>
        <w:t>Fallback to previous validated Knowledge Objects</w:t>
      </w:r>
    </w:p>
    <w:p>
      <w:pPr>
        <w:pStyle w:val="Heading2"/>
      </w:pPr>
      <w:r>
        <w:t>7. APIs</w:t>
      </w:r>
    </w:p>
    <w:p>
      <w:pPr>
        <w:pStyle w:val="ListBullet"/>
      </w:pPr>
      <w:r>
        <w:t>DispatchWorkflow()</w:t>
      </w:r>
    </w:p>
    <w:p>
      <w:pPr>
        <w:pStyle w:val="ListBullet"/>
      </w:pPr>
      <w:r>
        <w:t>SpawnAgent()</w:t>
      </w:r>
    </w:p>
    <w:p>
      <w:pPr>
        <w:pStyle w:val="ListBullet"/>
      </w:pPr>
      <w:r>
        <w:t>MergeEvidence()</w:t>
      </w:r>
    </w:p>
    <w:p>
      <w:pPr>
        <w:pStyle w:val="ListBullet"/>
      </w:pPr>
      <w:r>
        <w:t>ResolveConflict()</w:t>
      </w:r>
    </w:p>
    <w:p>
      <w:pPr>
        <w:pStyle w:val="ListBullet"/>
      </w:pPr>
      <w:r>
        <w:t>PublishReasoningGraph()</w:t>
      </w:r>
    </w:p>
    <w:p>
      <w:pPr>
        <w:pStyle w:val="Heading2"/>
      </w:pPr>
      <w:r>
        <w:t>8. KPIs</w:t>
      </w:r>
    </w:p>
    <w:p>
      <w:pPr>
        <w:pStyle w:val="ListBullet"/>
      </w:pPr>
      <w:r>
        <w:t>Workflow latency</w:t>
      </w:r>
    </w:p>
    <w:p>
      <w:pPr>
        <w:pStyle w:val="ListBullet"/>
      </w:pPr>
      <w:r>
        <w:t>Parallelization efficiency</w:t>
      </w:r>
    </w:p>
    <w:p>
      <w:pPr>
        <w:pStyle w:val="ListBullet"/>
      </w:pPr>
      <w:r>
        <w:t>Conflict resolution quality</w:t>
      </w:r>
    </w:p>
    <w:p>
      <w:pPr>
        <w:pStyle w:val="ListBullet"/>
      </w:pPr>
      <w:r>
        <w:t>Reasoning completeness</w:t>
      </w:r>
    </w:p>
    <w:p>
      <w:pPr>
        <w:pStyle w:val="ListBullet"/>
      </w:pPr>
      <w:r>
        <w:t>End-to-end traceability</w:t>
      </w:r>
    </w:p>
    <w:p>
      <w:pPr>
        <w:pStyle w:val="Heading2"/>
      </w:pPr>
      <w:r>
        <w:t>9. Dependencies</w:t>
      </w:r>
    </w:p>
    <w:p>
      <w:r>
        <w:br/>
        <w:t>Depends on:</w:t>
        <w:br/>
        <w:t>GPSR-025 Scientific Council</w:t>
        <w:br/>
        <w:t>GPSR-026 Genesis Experience Layer</w:t>
        <w:br/>
        <w:t>GPSR-027 Prometheus Experience Layer</w:t>
        <w:br/>
        <w:t>GPSR-028 Infinite Canvas</w:t>
        <w:br/>
        <w:br/>
        <w:t>Referenced by:</w:t>
        <w:br/>
        <w:t>Entire platform runtime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