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3864"/>
          <w:sz w:val="44"/>
          <w:szCs w:val="44"/>
        </w:rPr>
        <w:t xml:space="preserve">SMART INDIA HACKATHON 2026</w:t>
      </w:r>
    </w:p>
    <w:p>
      <w:pPr>
        <w:spacing w:after="400" w:before="200"/>
        <w:jc w:val="center"/>
      </w:pPr>
      <w:r>
        <w:rPr>
          <w:i/>
          <w:iCs/>
          <w:color w:val="595959"/>
          <w:sz w:val="28"/>
          <w:szCs w:val="28"/>
        </w:rPr>
        <w:t xml:space="preserve">Detailed Project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DEBF7" w:val="clear"/>
            <w:tcMar>
              <w:top w:type="dxa" w:w="80"/>
              <w:left w:type="dxa" w:w="100"/>
              <w:bottom w:type="dxa" w:w="80"/>
              <w:right w:type="dxa" w:w="100"/>
            </w:tcMar>
          </w:tcPr>
          <w:p>
            <w:r>
              <w:rPr>
                <w:b/>
                <w:bCs/>
                <w:color w:val="000000"/>
                <w:sz w:val="20"/>
                <w:szCs w:val="20"/>
              </w:rPr>
              <w:t xml:space="preserve">Problem Statement ID</w:t>
            </w:r>
          </w:p>
        </w:tc>
        <w:tc>
          <w:tcPr>
            <w:tcW w:type="dxa" w:w="6000"/>
            <w:tcMar>
              <w:top w:type="dxa" w:w="80"/>
              <w:left w:type="dxa" w:w="100"/>
              <w:bottom w:type="dxa" w:w="80"/>
              <w:right w:type="dxa" w:w="100"/>
            </w:tcMar>
          </w:tcPr>
          <w:p>
            <w:r>
              <w:rPr>
                <w:b w:val="false"/>
                <w:bCs w:val="false"/>
                <w:color w:val="000000"/>
                <w:sz w:val="20"/>
                <w:szCs w:val="20"/>
              </w:rPr>
              <w:t xml:space="preserve">SIH26168</w:t>
            </w:r>
          </w:p>
        </w:tc>
      </w:tr>
      <w:tr>
        <w:tc>
          <w:tcPr>
            <w:tcW w:type="dxa" w:w="3000"/>
            <w:shd w:fill="DDEBF7" w:val="clear"/>
            <w:tcMar>
              <w:top w:type="dxa" w:w="80"/>
              <w:left w:type="dxa" w:w="100"/>
              <w:bottom w:type="dxa" w:w="80"/>
              <w:right w:type="dxa" w:w="100"/>
            </w:tcMar>
          </w:tcPr>
          <w:p>
            <w:r>
              <w:rPr>
                <w:b/>
                <w:bCs/>
                <w:color w:val="000000"/>
                <w:sz w:val="20"/>
                <w:szCs w:val="20"/>
              </w:rPr>
              <w:t xml:space="preserve">Problem Statement Title</w:t>
            </w:r>
          </w:p>
        </w:tc>
        <w:tc>
          <w:tcPr>
            <w:tcW w:type="dxa" w:w="6000"/>
            <w:tcMar>
              <w:top w:type="dxa" w:w="80"/>
              <w:left w:type="dxa" w:w="100"/>
              <w:bottom w:type="dxa" w:w="80"/>
              <w:right w:type="dxa" w:w="100"/>
            </w:tcMar>
          </w:tcPr>
          <w:p>
            <w:r>
              <w:rPr>
                <w:b w:val="false"/>
                <w:bCs w:val="false"/>
                <w:color w:val="000000"/>
                <w:sz w:val="20"/>
                <w:szCs w:val="20"/>
              </w:rPr>
              <w:t xml:space="preserve">AI/ML Based Intelligent Dead Reckoning System for Seamless Navigation</w:t>
            </w:r>
          </w:p>
        </w:tc>
      </w:tr>
      <w:tr>
        <w:tc>
          <w:tcPr>
            <w:tcW w:type="dxa" w:w="3000"/>
            <w:shd w:fill="DDEBF7" w:val="clear"/>
            <w:tcMar>
              <w:top w:type="dxa" w:w="80"/>
              <w:left w:type="dxa" w:w="100"/>
              <w:bottom w:type="dxa" w:w="80"/>
              <w:right w:type="dxa" w:w="100"/>
            </w:tcMar>
          </w:tcPr>
          <w:p>
            <w:r>
              <w:rPr>
                <w:b/>
                <w:bCs/>
                <w:color w:val="000000"/>
                <w:sz w:val="20"/>
                <w:szCs w:val="20"/>
              </w:rPr>
              <w:t xml:space="preserve">Theme</w:t>
            </w:r>
          </w:p>
        </w:tc>
        <w:tc>
          <w:tcPr>
            <w:tcW w:type="dxa" w:w="6000"/>
            <w:tcMar>
              <w:top w:type="dxa" w:w="80"/>
              <w:left w:type="dxa" w:w="100"/>
              <w:bottom w:type="dxa" w:w="80"/>
              <w:right w:type="dxa" w:w="100"/>
            </w:tcMar>
          </w:tcPr>
          <w:p>
            <w:r>
              <w:rPr>
                <w:b w:val="false"/>
                <w:bCs w:val="false"/>
                <w:color w:val="000000"/>
                <w:sz w:val="20"/>
                <w:szCs w:val="20"/>
              </w:rPr>
              <w:t xml:space="preserve">Smart Vehicles</w:t>
            </w:r>
          </w:p>
        </w:tc>
      </w:tr>
      <w:tr>
        <w:tc>
          <w:tcPr>
            <w:tcW w:type="dxa" w:w="3000"/>
            <w:shd w:fill="DDEBF7" w:val="clear"/>
            <w:tcMar>
              <w:top w:type="dxa" w:w="80"/>
              <w:left w:type="dxa" w:w="100"/>
              <w:bottom w:type="dxa" w:w="80"/>
              <w:right w:type="dxa" w:w="100"/>
            </w:tcMar>
          </w:tcPr>
          <w:p>
            <w:r>
              <w:rPr>
                <w:b/>
                <w:bCs/>
                <w:color w:val="000000"/>
                <w:sz w:val="20"/>
                <w:szCs w:val="20"/>
              </w:rPr>
              <w:t xml:space="preserve">PS Category</w:t>
            </w:r>
          </w:p>
        </w:tc>
        <w:tc>
          <w:tcPr>
            <w:tcW w:type="dxa" w:w="6000"/>
            <w:tcMar>
              <w:top w:type="dxa" w:w="80"/>
              <w:left w:type="dxa" w:w="100"/>
              <w:bottom w:type="dxa" w:w="80"/>
              <w:right w:type="dxa" w:w="100"/>
            </w:tcMar>
          </w:tcPr>
          <w:p>
            <w:r>
              <w:rPr>
                <w:b w:val="false"/>
                <w:bCs w:val="false"/>
                <w:color w:val="000000"/>
                <w:sz w:val="20"/>
                <w:szCs w:val="20"/>
              </w:rPr>
              <w:t xml:space="preserve">Software</w:t>
            </w:r>
          </w:p>
        </w:tc>
      </w:tr>
      <w:tr>
        <w:tc>
          <w:tcPr>
            <w:tcW w:type="dxa" w:w="3000"/>
            <w:shd w:fill="DDEBF7" w:val="clear"/>
            <w:tcMar>
              <w:top w:type="dxa" w:w="80"/>
              <w:left w:type="dxa" w:w="100"/>
              <w:bottom w:type="dxa" w:w="80"/>
              <w:right w:type="dxa" w:w="100"/>
            </w:tcMar>
          </w:tcPr>
          <w:p>
            <w:r>
              <w:rPr>
                <w:b/>
                <w:bCs/>
                <w:color w:val="000000"/>
                <w:sz w:val="20"/>
                <w:szCs w:val="20"/>
              </w:rPr>
              <w:t xml:space="preserve">Organization</w:t>
            </w:r>
          </w:p>
        </w:tc>
        <w:tc>
          <w:tcPr>
            <w:tcW w:type="dxa" w:w="6000"/>
            <w:tcMar>
              <w:top w:type="dxa" w:w="80"/>
              <w:left w:type="dxa" w:w="100"/>
              <w:bottom w:type="dxa" w:w="80"/>
              <w:right w:type="dxa" w:w="100"/>
            </w:tcMar>
          </w:tcPr>
          <w:p>
            <w:r>
              <w:rPr>
                <w:b w:val="false"/>
                <w:bCs w:val="false"/>
                <w:color w:val="000000"/>
                <w:sz w:val="20"/>
                <w:szCs w:val="20"/>
              </w:rPr>
              <w:t xml:space="preserve">Indian Space Research Organisation (ISRO) — Department of Space</w:t>
            </w:r>
          </w:p>
        </w:tc>
      </w:tr>
      <w:tr>
        <w:tc>
          <w:tcPr>
            <w:tcW w:type="dxa" w:w="3000"/>
            <w:shd w:fill="DDEBF7" w:val="clear"/>
            <w:tcMar>
              <w:top w:type="dxa" w:w="80"/>
              <w:left w:type="dxa" w:w="100"/>
              <w:bottom w:type="dxa" w:w="80"/>
              <w:right w:type="dxa" w:w="100"/>
            </w:tcMar>
          </w:tcPr>
          <w:p>
            <w:r>
              <w:rPr>
                <w:b/>
                <w:bCs/>
                <w:color w:val="000000"/>
                <w:sz w:val="20"/>
                <w:szCs w:val="20"/>
              </w:rPr>
              <w:t xml:space="preserve">Team ID</w:t>
            </w:r>
          </w:p>
        </w:tc>
        <w:tc>
          <w:tcPr>
            <w:tcW w:type="dxa" w:w="6000"/>
            <w:tcMar>
              <w:top w:type="dxa" w:w="80"/>
              <w:left w:type="dxa" w:w="100"/>
              <w:bottom w:type="dxa" w:w="80"/>
              <w:right w:type="dxa" w:w="100"/>
            </w:tcMar>
          </w:tcPr>
          <w:p>
            <w:r>
              <w:rPr>
                <w:b w:val="false"/>
                <w:bCs w:val="false"/>
                <w:color w:val="000000"/>
                <w:sz w:val="20"/>
                <w:szCs w:val="20"/>
              </w:rPr>
              <w:t xml:space="preserve">[Insert Team ID]</w:t>
            </w:r>
          </w:p>
        </w:tc>
      </w:tr>
      <w:tr>
        <w:tc>
          <w:tcPr>
            <w:tcW w:type="dxa" w:w="3000"/>
            <w:shd w:fill="DDEBF7" w:val="clear"/>
            <w:tcMar>
              <w:top w:type="dxa" w:w="80"/>
              <w:left w:type="dxa" w:w="100"/>
              <w:bottom w:type="dxa" w:w="80"/>
              <w:right w:type="dxa" w:w="100"/>
            </w:tcMar>
          </w:tcPr>
          <w:p>
            <w:r>
              <w:rPr>
                <w:b/>
                <w:bCs/>
                <w:color w:val="000000"/>
                <w:sz w:val="20"/>
                <w:szCs w:val="20"/>
              </w:rPr>
              <w:t xml:space="preserve">Team Name</w:t>
            </w:r>
          </w:p>
        </w:tc>
        <w:tc>
          <w:tcPr>
            <w:tcW w:type="dxa" w:w="6000"/>
            <w:tcMar>
              <w:top w:type="dxa" w:w="80"/>
              <w:left w:type="dxa" w:w="100"/>
              <w:bottom w:type="dxa" w:w="80"/>
              <w:right w:type="dxa" w:w="100"/>
            </w:tcMar>
          </w:tcPr>
          <w:p>
            <w:r>
              <w:rPr>
                <w:b w:val="false"/>
                <w:bCs w:val="false"/>
                <w:color w:val="000000"/>
                <w:sz w:val="20"/>
                <w:szCs w:val="20"/>
              </w:rPr>
              <w:t xml:space="preserve">[Insert Team Name]</w:t>
            </w:r>
          </w:p>
        </w:tc>
      </w:tr>
    </w:tbl>
    <w:p>
      <w:r>
        <w:br w:type="page"/>
      </w:r>
    </w:p>
    <w:p>
      <w:pPr>
        <w:pStyle w:val="Heading1"/>
        <w:spacing w:after="160" w:before="320"/>
      </w:pPr>
      <w:r>
        <w:rPr>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1F3864"/>
          <w:sz w:val="30"/>
          <w:szCs w:val="30"/>
        </w:rPr>
        <w:t xml:space="preserve">1. Problem Statement Understanding</w:t>
      </w:r>
    </w:p>
    <w:p>
      <w:pPr>
        <w:spacing w:after="140" w:line="300"/>
      </w:pPr>
      <w:r>
        <w:rPr>
          <w:sz w:val="22"/>
          <w:szCs w:val="22"/>
        </w:rPr>
        <w:t xml:space="preserve">Vehicle logistics, ride-hailing, quick commerce, and emergency response in India depend heavily on smartphone-based navigation applications powered by GNSS (GPS/Galileo/NavIC). GNSS signals, however, are structurally vulnerable to blockage in long tunnels, underground/multi-level parking, dense urban canyons, and forested highways, as well as to electromagnetic interference such as jamming. When this happens, navigation apps freeze, jump erratically, or misroute vehicles, creating safety hazards and delivery delays.</w:t>
      </w:r>
    </w:p>
    <w:p>
      <w:pPr>
        <w:spacing w:after="140" w:line="300"/>
      </w:pPr>
      <w:r>
        <w:rPr>
          <w:sz w:val="22"/>
          <w:szCs w:val="22"/>
        </w:rPr>
        <w:t xml:space="preserve">While high-end vehicles carry factory-fitted, wheel-connected Inertial Navigation Systems (INS), the overwhelming majority of Indian vehicles — commercial trucks, older cars, and millions of two-wheelers — rely solely on a driver's smartphone. A smartphone's consumer-grade MEMS IMU, without access to a vehicle's OBD-II speedometer feed, suffers severe chassis vibration, engine harmonics, and road-shock noise, causing exponential drift within seconds of naive dead reckoning.</w:t>
      </w:r>
    </w:p>
    <w:p>
      <w:pPr>
        <w:spacing w:after="140" w:line="300"/>
      </w:pPr>
      <w:r>
        <w:rPr>
          <w:sz w:val="22"/>
          <w:szCs w:val="22"/>
        </w:rPr>
        <w:t xml:space="preserve">The problem statement calls for a lightweight, edge-deployable software engine and companion mobile application that fuses GNSS and IMU data using AI/ML techniques to maintain lane-level positional accuracy through GNSS outages, using the IO-VNBD dataset for model training and evaluation, with a stated benchmark of restricting positional drift to under 10% of distance travelled during GNSS blackout.</w:t>
      </w:r>
    </w:p>
    <w:p>
      <w:pPr>
        <w:pStyle w:val="Heading2"/>
        <w:spacing w:after="120" w:before="240"/>
      </w:pPr>
      <w:r>
        <w:rPr>
          <w:b/>
          <w:bCs/>
          <w:color w:val="2E74B5"/>
          <w:sz w:val="24"/>
          <w:szCs w:val="24"/>
        </w:rPr>
        <w:t xml:space="preserve">1.1 Key Technical Challenges Identified</w:t>
      </w:r>
    </w:p>
    <w:p>
      <w:pPr>
        <w:pStyle w:val="ListParagraph"/>
        <w:numPr>
          <w:ilvl w:val="0"/>
          <w:numId w:val="2"/>
        </w:numPr>
        <w:spacing w:after="80" w:line="280"/>
      </w:pPr>
      <w:r>
        <w:rPr>
          <w:sz w:val="22"/>
          <w:szCs w:val="22"/>
        </w:rPr>
        <w:t xml:space="preserve">Absence of an OBD-II speedometer feed — vehicle speed and acceleration must be inferred purely from noisy smartphone IMU signals.</w:t>
      </w:r>
    </w:p>
    <w:p>
      <w:pPr>
        <w:pStyle w:val="ListParagraph"/>
        <w:numPr>
          <w:ilvl w:val="0"/>
          <w:numId w:val="2"/>
        </w:numPr>
        <w:spacing w:after="80" w:line="280"/>
      </w:pPr>
      <w:r>
        <w:rPr>
          <w:sz w:val="22"/>
          <w:szCs w:val="22"/>
        </w:rPr>
        <w:t xml:space="preserve">Severe non-navigational noise sources: chassis vibration, engine idling harmonics, potholes, and accidental phone-mount misalignment.</w:t>
      </w:r>
    </w:p>
    <w:p>
      <w:pPr>
        <w:pStyle w:val="ListParagraph"/>
        <w:numPr>
          <w:ilvl w:val="0"/>
          <w:numId w:val="2"/>
        </w:numPr>
        <w:spacing w:after="80" w:line="280"/>
      </w:pPr>
      <w:r>
        <w:rPr>
          <w:sz w:val="22"/>
          <w:szCs w:val="22"/>
        </w:rPr>
        <w:t xml:space="preserve">Exponential drift accumulation inherent to raw double-integration of low-cost MEMS accelerometer data.</w:t>
      </w:r>
    </w:p>
    <w:p>
      <w:pPr>
        <w:pStyle w:val="ListParagraph"/>
        <w:numPr>
          <w:ilvl w:val="0"/>
          <w:numId w:val="2"/>
        </w:numPr>
        <w:spacing w:after="80" w:line="280"/>
      </w:pPr>
      <w:r>
        <w:rPr>
          <w:sz w:val="22"/>
          <w:szCs w:val="22"/>
        </w:rPr>
        <w:t xml:space="preserve">Need for instantaneous, seamless transition between GNSS-aided INS and pure dead reckoning, and back, without visibly jumping the position marker.</w:t>
      </w:r>
    </w:p>
    <w:p>
      <w:pPr>
        <w:pStyle w:val="ListParagraph"/>
        <w:numPr>
          <w:ilvl w:val="0"/>
          <w:numId w:val="2"/>
        </w:numPr>
        <w:spacing w:after="80" w:line="280"/>
      </w:pPr>
      <w:r>
        <w:rPr>
          <w:sz w:val="22"/>
          <w:szCs w:val="22"/>
        </w:rPr>
        <w:t xml:space="preserve">Generalization across arbitrary phones, vehicles (car vs. two-wheeler), and mounting styles — a dimension the IO-VNBD benchmark alone does not fully capture.</w:t>
      </w:r>
    </w:p>
    <w:p>
      <w:pPr>
        <w:pStyle w:val="Heading1"/>
        <w:spacing w:after="160" w:before="320"/>
      </w:pPr>
      <w:r>
        <w:rPr>
          <w:b/>
          <w:bCs/>
          <w:color w:val="1F3864"/>
          <w:sz w:val="30"/>
          <w:szCs w:val="30"/>
        </w:rPr>
        <w:t xml:space="preserve">2. Proposed Solution</w:t>
      </w:r>
    </w:p>
    <w:p>
      <w:pPr>
        <w:spacing w:after="140" w:line="300"/>
      </w:pPr>
      <w:r>
        <w:rPr>
          <w:sz w:val="22"/>
          <w:szCs w:val="22"/>
        </w:rPr>
        <w:t xml:space="preserve">We propose an Intelligent Dead Reckoning (IDR) engine built around a compact, physics-informed multi-task AI model that predicts vehicle forward speed, motion/vibration state, and a calibrated confidence value directly from smartphone IMU windows. This confidence signal dynamically drives an adaptive Extended Kalman Filter (EKF) that fuses GNSS and IMU measurements, further constrained by Zero-Velocity Updates (ZUPT), Non-Holonomic Constraints (NHC), and an offline OpenStreetMap-based map-matching layer. The result is a system that degrades gracefully during GNSS loss and recovers smoothly when GNSS returns — deployable both as a smartphone application and as a portable edge software engine for external IMU sources.</w:t>
      </w:r>
    </w:p>
    <w:p>
      <w:pPr>
        <w:pStyle w:val="Heading2"/>
        <w:spacing w:after="120" w:before="240"/>
      </w:pPr>
      <w:r>
        <w:rPr>
          <w:b/>
          <w:bCs/>
          <w:color w:val="2E74B5"/>
          <w:sz w:val="24"/>
          <w:szCs w:val="24"/>
        </w:rPr>
        <w:t xml:space="preserve">2.1 Core Innovation</w:t>
      </w:r>
    </w:p>
    <w:p>
      <w:pPr>
        <w:spacing w:after="140" w:line="300"/>
      </w:pPr>
      <w:r>
        <w:rPr>
          <w:sz w:val="22"/>
          <w:szCs w:val="22"/>
        </w:rPr>
        <w:t xml:space="preserve">Unlike a conventional “plain EKF + generic ML denoiser” approach, our system treats AI-predicted uncertainty as a first-class signal that continuously re-tunes the fusion filter itself — rather than only smoothing the input signal. This is achieved through:</w:t>
      </w:r>
    </w:p>
    <w:p>
      <w:pPr>
        <w:pStyle w:val="ListParagraph"/>
        <w:numPr>
          <w:ilvl w:val="0"/>
          <w:numId w:val="2"/>
        </w:numPr>
        <w:spacing w:after="80" w:line="280"/>
      </w:pPr>
      <w:r>
        <w:rPr>
          <w:sz w:val="22"/>
          <w:szCs w:val="22"/>
        </w:rPr>
        <w:t xml:space="preserve">A heteroscedastic (uncertainty-aware) speed regression head, trained with a Gaussian negative-log-likelihood loss, so the model's confidence output is calibrated and directly usable as the EKF's measurement-noise term — not a decorative number.</w:t>
      </w:r>
    </w:p>
    <w:p>
      <w:pPr>
        <w:pStyle w:val="ListParagraph"/>
        <w:numPr>
          <w:ilvl w:val="0"/>
          <w:numId w:val="2"/>
        </w:numPr>
        <w:spacing w:after="80" w:line="280"/>
      </w:pPr>
      <w:r>
        <w:rPr>
          <w:sz w:val="22"/>
          <w:szCs w:val="22"/>
        </w:rPr>
        <w:t xml:space="preserve">Non-holonomic constraints enforced inside the filter's correction step, not as a cosmetic post-hoc “snap to road,” giving physically grounded drift suppression.</w:t>
      </w:r>
    </w:p>
    <w:p>
      <w:pPr>
        <w:pStyle w:val="ListParagraph"/>
        <w:numPr>
          <w:ilvl w:val="0"/>
          <w:numId w:val="2"/>
        </w:numPr>
        <w:spacing w:after="80" w:line="280"/>
      </w:pPr>
      <w:r>
        <w:rPr>
          <w:sz w:val="22"/>
          <w:szCs w:val="22"/>
        </w:rPr>
        <w:t xml:space="preserve">A confidence-ellipse visualization on the navigation UI, showing the system's real-time positional uncertainty rather than presenting a falsely precise marker.</w:t>
      </w:r>
    </w:p>
    <w:p>
      <w:pPr>
        <w:pStyle w:val="ListParagraph"/>
        <w:numPr>
          <w:ilvl w:val="0"/>
          <w:numId w:val="2"/>
        </w:numPr>
        <w:spacing w:after="80" w:line="280"/>
      </w:pPr>
      <w:r>
        <w:rPr>
          <w:sz w:val="22"/>
          <w:szCs w:val="22"/>
        </w:rPr>
        <w:t xml:space="preserve">A magnetometer usage policy that explicitly avoids continuous heading fusion (chassis-proximity distortion renders continuous magnetometer fusion unreliable in vehicles), using it only for gated, one-time coarse heading alignment at standstill.</w:t>
      </w:r>
    </w:p>
    <w:p>
      <w:pPr>
        <w:pStyle w:val="Heading2"/>
        <w:spacing w:after="120" w:before="240"/>
      </w:pPr>
      <w:r>
        <w:rPr>
          <w:b/>
          <w:bCs/>
          <w:color w:val="2E74B5"/>
          <w:sz w:val="24"/>
          <w:szCs w:val="24"/>
        </w:rPr>
        <w:t xml:space="preserve">2.2 Risk vs. 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FCE4E4" w:val="clear"/>
            <w:tcMar>
              <w:top w:type="dxa" w:w="80"/>
              <w:left w:type="dxa" w:w="100"/>
              <w:bottom w:type="dxa" w:w="80"/>
              <w:right w:type="dxa" w:w="100"/>
            </w:tcMar>
          </w:tcPr>
          <w:p>
            <w:r>
              <w:rPr>
                <w:b/>
                <w:bCs/>
                <w:color w:val="000000"/>
                <w:sz w:val="20"/>
                <w:szCs w:val="20"/>
              </w:rPr>
              <w:t xml:space="preserve">Risk</w:t>
            </w:r>
          </w:p>
        </w:tc>
        <w:tc>
          <w:tcPr>
            <w:tcW w:type="dxa" w:w="4800"/>
            <w:shd w:fill="E2EFDA" w:val="clear"/>
            <w:tcMar>
              <w:top w:type="dxa" w:w="80"/>
              <w:left w:type="dxa" w:w="100"/>
              <w:bottom w:type="dxa" w:w="80"/>
              <w:right w:type="dxa" w:w="100"/>
            </w:tcMar>
          </w:tcPr>
          <w:p>
            <w:r>
              <w:rPr>
                <w:b/>
                <w:bCs/>
                <w:color w:val="000000"/>
                <w:sz w:val="20"/>
                <w:szCs w:val="20"/>
              </w:rPr>
              <w:t xml:space="preserve">Our Solution</w:t>
            </w:r>
          </w:p>
        </w:tc>
      </w:tr>
      <w:tr>
        <w:tc>
          <w:tcPr>
            <w:tcW w:type="dxa" w:w="4200"/>
            <w:tcMar>
              <w:top w:type="dxa" w:w="80"/>
              <w:left w:type="dxa" w:w="100"/>
              <w:bottom w:type="dxa" w:w="80"/>
              <w:right w:type="dxa" w:w="100"/>
            </w:tcMar>
          </w:tcPr>
          <w:p>
            <w:r>
              <w:rPr>
                <w:b w:val="false"/>
                <w:bCs w:val="false"/>
                <w:color w:val="000000"/>
                <w:sz w:val="20"/>
                <w:szCs w:val="20"/>
              </w:rPr>
              <w:t xml:space="preserve">GNSS blackout freezes/jumps navigation in tunnels, parking, urban canyons</w:t>
            </w:r>
          </w:p>
        </w:tc>
        <w:tc>
          <w:tcPr>
            <w:tcW w:type="dxa" w:w="4800"/>
            <w:tcMar>
              <w:top w:type="dxa" w:w="80"/>
              <w:left w:type="dxa" w:w="100"/>
              <w:bottom w:type="dxa" w:w="80"/>
              <w:right w:type="dxa" w:w="100"/>
            </w:tcMar>
          </w:tcPr>
          <w:p>
            <w:r>
              <w:rPr>
                <w:b w:val="false"/>
                <w:bCs w:val="false"/>
                <w:color w:val="000000"/>
                <w:sz w:val="20"/>
                <w:szCs w:val="20"/>
              </w:rPr>
              <w:t xml:space="preserve">Seamless AI-driven dead reckoning maintains continuous, lane-level tracking</w:t>
            </w:r>
          </w:p>
        </w:tc>
      </w:tr>
      <w:tr>
        <w:tc>
          <w:tcPr>
            <w:tcW w:type="dxa" w:w="4200"/>
            <w:tcMar>
              <w:top w:type="dxa" w:w="80"/>
              <w:left w:type="dxa" w:w="100"/>
              <w:bottom w:type="dxa" w:w="80"/>
              <w:right w:type="dxa" w:w="100"/>
            </w:tcMar>
          </w:tcPr>
          <w:p>
            <w:r>
              <w:rPr>
                <w:b w:val="false"/>
                <w:bCs w:val="false"/>
                <w:color w:val="000000"/>
                <w:sz w:val="20"/>
                <w:szCs w:val="20"/>
              </w:rPr>
              <w:t xml:space="preserve">No OBD-II speedometer available on most Indian vehicles</w:t>
            </w:r>
          </w:p>
        </w:tc>
        <w:tc>
          <w:tcPr>
            <w:tcW w:type="dxa" w:w="4800"/>
            <w:tcMar>
              <w:top w:type="dxa" w:w="80"/>
              <w:left w:type="dxa" w:w="100"/>
              <w:bottom w:type="dxa" w:w="80"/>
              <w:right w:type="dxa" w:w="100"/>
            </w:tcMar>
          </w:tcPr>
          <w:p>
            <w:r>
              <w:rPr>
                <w:b w:val="false"/>
                <w:bCs w:val="false"/>
                <w:color w:val="000000"/>
                <w:sz w:val="20"/>
                <w:szCs w:val="20"/>
              </w:rPr>
              <w:t xml:space="preserve">AI speed-estimation model replaces the speedometer using IMU alone</w:t>
            </w:r>
          </w:p>
        </w:tc>
      </w:tr>
      <w:tr>
        <w:tc>
          <w:tcPr>
            <w:tcW w:type="dxa" w:w="4200"/>
            <w:tcMar>
              <w:top w:type="dxa" w:w="80"/>
              <w:left w:type="dxa" w:w="100"/>
              <w:bottom w:type="dxa" w:w="80"/>
              <w:right w:type="dxa" w:w="100"/>
            </w:tcMar>
          </w:tcPr>
          <w:p>
            <w:r>
              <w:rPr>
                <w:b w:val="false"/>
                <w:bCs w:val="false"/>
                <w:color w:val="000000"/>
                <w:sz w:val="20"/>
                <w:szCs w:val="20"/>
              </w:rPr>
              <w:t xml:space="preserve">Raw IMU integration drifts exponentially within seconds</w:t>
            </w:r>
          </w:p>
        </w:tc>
        <w:tc>
          <w:tcPr>
            <w:tcW w:type="dxa" w:w="4800"/>
            <w:tcMar>
              <w:top w:type="dxa" w:w="80"/>
              <w:left w:type="dxa" w:w="100"/>
              <w:bottom w:type="dxa" w:w="80"/>
              <w:right w:type="dxa" w:w="100"/>
            </w:tcMar>
          </w:tcPr>
          <w:p>
            <w:r>
              <w:rPr>
                <w:b w:val="false"/>
                <w:bCs w:val="false"/>
                <w:color w:val="000000"/>
                <w:sz w:val="20"/>
                <w:szCs w:val="20"/>
              </w:rPr>
              <w:t xml:space="preserve">Adaptive EKF + ZUPT + NHC + map-matching bound drift to the ISRO benchmark</w:t>
            </w:r>
          </w:p>
        </w:tc>
      </w:tr>
      <w:tr>
        <w:tc>
          <w:tcPr>
            <w:tcW w:type="dxa" w:w="4200"/>
            <w:tcMar>
              <w:top w:type="dxa" w:w="80"/>
              <w:left w:type="dxa" w:w="100"/>
              <w:bottom w:type="dxa" w:w="80"/>
              <w:right w:type="dxa" w:w="100"/>
            </w:tcMar>
          </w:tcPr>
          <w:p>
            <w:r>
              <w:rPr>
                <w:b w:val="false"/>
                <w:bCs w:val="false"/>
                <w:color w:val="000000"/>
                <w:sz w:val="20"/>
                <w:szCs w:val="20"/>
              </w:rPr>
              <w:t xml:space="preserve">Sudden GNSS recovery causes a visible position “jump”</w:t>
            </w:r>
          </w:p>
        </w:tc>
        <w:tc>
          <w:tcPr>
            <w:tcW w:type="dxa" w:w="4800"/>
            <w:tcMar>
              <w:top w:type="dxa" w:w="80"/>
              <w:left w:type="dxa" w:w="100"/>
              <w:bottom w:type="dxa" w:w="80"/>
              <w:right w:type="dxa" w:w="100"/>
            </w:tcMar>
          </w:tcPr>
          <w:p>
            <w:r>
              <w:rPr>
                <w:b w:val="false"/>
                <w:bCs w:val="false"/>
                <w:color w:val="000000"/>
                <w:sz w:val="20"/>
                <w:szCs w:val="20"/>
              </w:rPr>
              <w:t xml:space="preserve">Innovation-gated, gradual correction on GNSS recovery</w:t>
            </w:r>
          </w:p>
        </w:tc>
      </w:tr>
    </w:tbl>
    <w:p>
      <w:r>
        <w:br w:type="page"/>
      </w:r>
    </w:p>
    <w:p>
      <w:pPr>
        <w:pStyle w:val="Heading1"/>
        <w:spacing w:after="160" w:before="320"/>
      </w:pPr>
      <w:r>
        <w:rPr>
          <w:b/>
          <w:bCs/>
          <w:color w:val="1F3864"/>
          <w:sz w:val="30"/>
          <w:szCs w:val="30"/>
        </w:rPr>
        <w:t xml:space="preserve">3. Technical Approach and Architecture</w:t>
      </w:r>
    </w:p>
    <w:p>
      <w:pPr>
        <w:spacing w:after="140" w:line="300"/>
      </w:pPr>
      <w:r>
        <w:rPr>
          <w:sz w:val="22"/>
          <w:szCs w:val="22"/>
        </w:rPr>
        <w:t xml:space="preserve">The system is organized as eight loosely coupled modules so that the core engine can accept input from a smartphone IMU, recorded IO-VNBD files, or an external Bluetooth/USB/FOG IMU — fulfilling the problem statement's requirement for an edge-deployable engine independent of the mobile application.</w:t>
      </w:r>
    </w:p>
    <w:p>
      <w:pPr>
        <w:pStyle w:val="Heading2"/>
        <w:spacing w:after="120" w:before="240"/>
      </w:pPr>
      <w:r>
        <w:rPr>
          <w:b/>
          <w:bCs/>
          <w:color w:val="2E74B5"/>
          <w:sz w:val="24"/>
          <w:szCs w:val="24"/>
        </w:rPr>
        <w:t xml:space="preserve">3.1 Processing Pipeline</w:t>
      </w:r>
    </w:p>
    <w:p>
      <w:pPr>
        <w:pStyle w:val="ListParagraph"/>
        <w:numPr>
          <w:ilvl w:val="0"/>
          <w:numId w:val="2"/>
        </w:numPr>
        <w:spacing w:after="80" w:line="280"/>
      </w:pPr>
      <w:r>
        <w:rPr>
          <w:sz w:val="22"/>
          <w:szCs w:val="22"/>
        </w:rPr>
        <w:t xml:space="preserve">IMU (accelerometer, gyroscope, magnetometer) + GNSS raw fixes captured with explicit timestamp synchronization</w:t>
      </w:r>
    </w:p>
    <w:p>
      <w:pPr>
        <w:pStyle w:val="ListParagraph"/>
        <w:numPr>
          <w:ilvl w:val="0"/>
          <w:numId w:val="2"/>
        </w:numPr>
        <w:spacing w:after="80" w:line="280"/>
      </w:pPr>
      <w:r>
        <w:rPr>
          <w:sz w:val="22"/>
          <w:szCs w:val="22"/>
        </w:rPr>
        <w:t xml:space="preserve">Phone-to-vehicle alignment and gravity-compensated calibration</w:t>
      </w:r>
    </w:p>
    <w:p>
      <w:pPr>
        <w:pStyle w:val="ListParagraph"/>
        <w:numPr>
          <w:ilvl w:val="0"/>
          <w:numId w:val="2"/>
        </w:numPr>
        <w:spacing w:after="80" w:line="280"/>
      </w:pPr>
      <w:r>
        <w:rPr>
          <w:sz w:val="22"/>
          <w:szCs w:val="22"/>
        </w:rPr>
        <w:t xml:space="preserve">Feature extraction over sliding IMU windows (acceleration/gyro magnitude, jerk)</w:t>
      </w:r>
    </w:p>
    <w:p>
      <w:pPr>
        <w:pStyle w:val="ListParagraph"/>
        <w:numPr>
          <w:ilvl w:val="0"/>
          <w:numId w:val="2"/>
        </w:numPr>
        <w:spacing w:after="80" w:line="280"/>
      </w:pPr>
      <w:r>
        <w:rPr>
          <w:sz w:val="22"/>
          <w:szCs w:val="22"/>
        </w:rPr>
        <w:t xml:space="preserve">AI model: 1D-CNN → GRU → three heads (forward speed, motion class, calibrated confidence)</w:t>
      </w:r>
    </w:p>
    <w:p>
      <w:pPr>
        <w:pStyle w:val="ListParagraph"/>
        <w:numPr>
          <w:ilvl w:val="0"/>
          <w:numId w:val="2"/>
        </w:numPr>
        <w:spacing w:after="80" w:line="280"/>
      </w:pPr>
      <w:r>
        <w:rPr>
          <w:sz w:val="22"/>
          <w:szCs w:val="22"/>
        </w:rPr>
        <w:t xml:space="preserve">Adaptive EKF fusion: GNSS position/speed, AI-predicted speed with uncertainty-driven measurement noise, ZUPT, non-holonomic constraints, GNSS innovation gating</w:t>
      </w:r>
    </w:p>
    <w:p>
      <w:pPr>
        <w:pStyle w:val="ListParagraph"/>
        <w:numPr>
          <w:ilvl w:val="0"/>
          <w:numId w:val="2"/>
        </w:numPr>
        <w:spacing w:after="80" w:line="280"/>
      </w:pPr>
      <w:r>
        <w:rPr>
          <w:sz w:val="22"/>
          <w:szCs w:val="22"/>
        </w:rPr>
        <w:t xml:space="preserve">Offline OpenStreetMap-based map-matching: heading-aware road-candidate scoring, applied as a soft correction proportional to filter uncertainty</w:t>
      </w:r>
    </w:p>
    <w:p>
      <w:pPr>
        <w:pStyle w:val="ListParagraph"/>
        <w:numPr>
          <w:ilvl w:val="0"/>
          <w:numId w:val="2"/>
        </w:numPr>
        <w:spacing w:after="80" w:line="280"/>
      </w:pPr>
      <w:r>
        <w:rPr>
          <w:sz w:val="22"/>
          <w:szCs w:val="22"/>
        </w:rPr>
        <w:t xml:space="preserve">Continuous position output rendered on-device with GNSS/DR status and a confidence-radius overlay</w:t>
      </w:r>
    </w:p>
    <w:p>
      <w:pPr>
        <w:pStyle w:val="Heading2"/>
        <w:spacing w:after="120" w:before="240"/>
      </w:pPr>
      <w:r>
        <w:rPr>
          <w:b/>
          <w:bCs/>
          <w:color w:val="2E74B5"/>
          <w:sz w:val="24"/>
          <w:szCs w:val="24"/>
        </w:rPr>
        <w:t xml:space="preserve">3.2 Module Separation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DEBF7" w:val="clear"/>
            <w:tcMar>
              <w:top w:type="dxa" w:w="80"/>
              <w:left w:type="dxa" w:w="100"/>
              <w:bottom w:type="dxa" w:w="80"/>
              <w:right w:type="dxa" w:w="100"/>
            </w:tcMar>
          </w:tcPr>
          <w:p>
            <w:r>
              <w:rPr>
                <w:b/>
                <w:bCs/>
                <w:color w:val="000000"/>
                <w:sz w:val="20"/>
                <w:szCs w:val="20"/>
              </w:rPr>
              <w:t xml:space="preserve">Module</w:t>
            </w:r>
          </w:p>
        </w:tc>
        <w:tc>
          <w:tcPr>
            <w:tcW w:type="dxa" w:w="6000"/>
            <w:shd w:fill="DDEBF7" w:val="clear"/>
            <w:tcMar>
              <w:top w:type="dxa" w:w="80"/>
              <w:left w:type="dxa" w:w="100"/>
              <w:bottom w:type="dxa" w:w="80"/>
              <w:right w:type="dxa" w:w="100"/>
            </w:tcMar>
          </w:tcPr>
          <w:p>
            <w:r>
              <w:rPr>
                <w:b/>
                <w:bCs/>
                <w:color w:val="000000"/>
                <w:sz w:val="20"/>
                <w:szCs w:val="20"/>
              </w:rPr>
              <w:t xml:space="preserve">Responsibility</w:t>
            </w:r>
          </w:p>
        </w:tc>
      </w:tr>
      <w:tr>
        <w:tc>
          <w:tcPr>
            <w:tcW w:type="dxa" w:w="3000"/>
            <w:tcMar>
              <w:top w:type="dxa" w:w="80"/>
              <w:left w:type="dxa" w:w="100"/>
              <w:bottom w:type="dxa" w:w="80"/>
              <w:right w:type="dxa" w:w="100"/>
            </w:tcMar>
          </w:tcPr>
          <w:p>
            <w:r>
              <w:rPr>
                <w:b w:val="false"/>
                <w:bCs w:val="false"/>
                <w:color w:val="000000"/>
                <w:sz w:val="20"/>
                <w:szCs w:val="20"/>
              </w:rPr>
              <w:t xml:space="preserve">Data</w:t>
            </w:r>
          </w:p>
        </w:tc>
        <w:tc>
          <w:tcPr>
            <w:tcW w:type="dxa" w:w="6000"/>
            <w:tcMar>
              <w:top w:type="dxa" w:w="80"/>
              <w:left w:type="dxa" w:w="100"/>
              <w:bottom w:type="dxa" w:w="80"/>
              <w:right w:type="dxa" w:w="100"/>
            </w:tcMar>
          </w:tcPr>
          <w:p>
            <w:r>
              <w:rPr>
                <w:b w:val="false"/>
                <w:bCs w:val="false"/>
                <w:color w:val="000000"/>
                <w:sz w:val="20"/>
                <w:szCs w:val="20"/>
              </w:rPr>
              <w:t xml:space="preserve">IO-VNBD ingestion, recorded phone/edge IMU logs</w:t>
            </w:r>
          </w:p>
        </w:tc>
      </w:tr>
      <w:tr>
        <w:tc>
          <w:tcPr>
            <w:tcW w:type="dxa" w:w="3000"/>
            <w:tcMar>
              <w:top w:type="dxa" w:w="80"/>
              <w:left w:type="dxa" w:w="100"/>
              <w:bottom w:type="dxa" w:w="80"/>
              <w:right w:type="dxa" w:w="100"/>
            </w:tcMar>
          </w:tcPr>
          <w:p>
            <w:r>
              <w:rPr>
                <w:b w:val="false"/>
                <w:bCs w:val="false"/>
                <w:color w:val="000000"/>
                <w:sz w:val="20"/>
                <w:szCs w:val="20"/>
              </w:rPr>
              <w:t xml:space="preserve">Sensor Preprocessing</w:t>
            </w:r>
          </w:p>
        </w:tc>
        <w:tc>
          <w:tcPr>
            <w:tcW w:type="dxa" w:w="6000"/>
            <w:tcMar>
              <w:top w:type="dxa" w:w="80"/>
              <w:left w:type="dxa" w:w="100"/>
              <w:bottom w:type="dxa" w:w="80"/>
              <w:right w:type="dxa" w:w="100"/>
            </w:tcMar>
          </w:tcPr>
          <w:p>
            <w:r>
              <w:rPr>
                <w:b w:val="false"/>
                <w:bCs w:val="false"/>
                <w:color w:val="000000"/>
                <w:sz w:val="20"/>
                <w:szCs w:val="20"/>
              </w:rPr>
              <w:t xml:space="preserve">Timestamp sync, resampling, gravity compensation</w:t>
            </w:r>
          </w:p>
        </w:tc>
      </w:tr>
      <w:tr>
        <w:tc>
          <w:tcPr>
            <w:tcW w:type="dxa" w:w="3000"/>
            <w:tcMar>
              <w:top w:type="dxa" w:w="80"/>
              <w:left w:type="dxa" w:w="100"/>
              <w:bottom w:type="dxa" w:w="80"/>
              <w:right w:type="dxa" w:w="100"/>
            </w:tcMar>
          </w:tcPr>
          <w:p>
            <w:r>
              <w:rPr>
                <w:b w:val="false"/>
                <w:bCs w:val="false"/>
                <w:color w:val="000000"/>
                <w:sz w:val="20"/>
                <w:szCs w:val="20"/>
              </w:rPr>
              <w:t xml:space="preserve">Orientation/Calibration</w:t>
            </w:r>
          </w:p>
        </w:tc>
        <w:tc>
          <w:tcPr>
            <w:tcW w:type="dxa" w:w="6000"/>
            <w:tcMar>
              <w:top w:type="dxa" w:w="80"/>
              <w:left w:type="dxa" w:w="100"/>
              <w:bottom w:type="dxa" w:w="80"/>
              <w:right w:type="dxa" w:w="100"/>
            </w:tcMar>
          </w:tcPr>
          <w:p>
            <w:r>
              <w:rPr>
                <w:b w:val="false"/>
                <w:bCs w:val="false"/>
                <w:color w:val="000000"/>
                <w:sz w:val="20"/>
                <w:szCs w:val="20"/>
              </w:rPr>
              <w:t xml:space="preserve">Phone-to-vehicle frame alignment, mount-drift handling</w:t>
            </w:r>
          </w:p>
        </w:tc>
      </w:tr>
      <w:tr>
        <w:tc>
          <w:tcPr>
            <w:tcW w:type="dxa" w:w="3000"/>
            <w:tcMar>
              <w:top w:type="dxa" w:w="80"/>
              <w:left w:type="dxa" w:w="100"/>
              <w:bottom w:type="dxa" w:w="80"/>
              <w:right w:type="dxa" w:w="100"/>
            </w:tcMar>
          </w:tcPr>
          <w:p>
            <w:r>
              <w:rPr>
                <w:b w:val="false"/>
                <w:bCs w:val="false"/>
                <w:color w:val="000000"/>
                <w:sz w:val="20"/>
                <w:szCs w:val="20"/>
              </w:rPr>
              <w:t xml:space="preserve">AI/ML</w:t>
            </w:r>
          </w:p>
        </w:tc>
        <w:tc>
          <w:tcPr>
            <w:tcW w:type="dxa" w:w="6000"/>
            <w:tcMar>
              <w:top w:type="dxa" w:w="80"/>
              <w:left w:type="dxa" w:w="100"/>
              <w:bottom w:type="dxa" w:w="80"/>
              <w:right w:type="dxa" w:w="100"/>
            </w:tcMar>
          </w:tcPr>
          <w:p>
            <w:r>
              <w:rPr>
                <w:b w:val="false"/>
                <w:bCs w:val="false"/>
                <w:color w:val="000000"/>
                <w:sz w:val="20"/>
                <w:szCs w:val="20"/>
              </w:rPr>
              <w:t xml:space="preserve">Speed, motion-class, and confidence prediction</w:t>
            </w:r>
          </w:p>
        </w:tc>
      </w:tr>
      <w:tr>
        <w:tc>
          <w:tcPr>
            <w:tcW w:type="dxa" w:w="3000"/>
            <w:tcMar>
              <w:top w:type="dxa" w:w="80"/>
              <w:left w:type="dxa" w:w="100"/>
              <w:bottom w:type="dxa" w:w="80"/>
              <w:right w:type="dxa" w:w="100"/>
            </w:tcMar>
          </w:tcPr>
          <w:p>
            <w:r>
              <w:rPr>
                <w:b w:val="false"/>
                <w:bCs w:val="false"/>
                <w:color w:val="000000"/>
                <w:sz w:val="20"/>
                <w:szCs w:val="20"/>
              </w:rPr>
              <w:t xml:space="preserve">EKF Fusion</w:t>
            </w:r>
          </w:p>
        </w:tc>
        <w:tc>
          <w:tcPr>
            <w:tcW w:type="dxa" w:w="6000"/>
            <w:tcMar>
              <w:top w:type="dxa" w:w="80"/>
              <w:left w:type="dxa" w:w="100"/>
              <w:bottom w:type="dxa" w:w="80"/>
              <w:right w:type="dxa" w:w="100"/>
            </w:tcMar>
          </w:tcPr>
          <w:p>
            <w:r>
              <w:rPr>
                <w:b w:val="false"/>
                <w:bCs w:val="false"/>
                <w:color w:val="000000"/>
                <w:sz w:val="20"/>
                <w:szCs w:val="20"/>
              </w:rPr>
              <w:t xml:space="preserve">GNSS + IMU + AI speed + ZUPT + NHC adaptive fusion</w:t>
            </w:r>
          </w:p>
        </w:tc>
      </w:tr>
      <w:tr>
        <w:tc>
          <w:tcPr>
            <w:tcW w:type="dxa" w:w="3000"/>
            <w:tcMar>
              <w:top w:type="dxa" w:w="80"/>
              <w:left w:type="dxa" w:w="100"/>
              <w:bottom w:type="dxa" w:w="80"/>
              <w:right w:type="dxa" w:w="100"/>
            </w:tcMar>
          </w:tcPr>
          <w:p>
            <w:r>
              <w:rPr>
                <w:b w:val="false"/>
                <w:bCs w:val="false"/>
                <w:color w:val="000000"/>
                <w:sz w:val="20"/>
                <w:szCs w:val="20"/>
              </w:rPr>
              <w:t xml:space="preserve">Map-Matching</w:t>
            </w:r>
          </w:p>
        </w:tc>
        <w:tc>
          <w:tcPr>
            <w:tcW w:type="dxa" w:w="6000"/>
            <w:tcMar>
              <w:top w:type="dxa" w:w="80"/>
              <w:left w:type="dxa" w:w="100"/>
              <w:bottom w:type="dxa" w:w="80"/>
              <w:right w:type="dxa" w:w="100"/>
            </w:tcMar>
          </w:tcPr>
          <w:p>
            <w:r>
              <w:rPr>
                <w:b w:val="false"/>
                <w:bCs w:val="false"/>
                <w:color w:val="000000"/>
                <w:sz w:val="20"/>
                <w:szCs w:val="20"/>
              </w:rPr>
              <w:t xml:space="preserve">Offline OSM road-constrained correction</w:t>
            </w:r>
          </w:p>
        </w:tc>
      </w:tr>
      <w:tr>
        <w:tc>
          <w:tcPr>
            <w:tcW w:type="dxa" w:w="3000"/>
            <w:tcMar>
              <w:top w:type="dxa" w:w="80"/>
              <w:left w:type="dxa" w:w="100"/>
              <w:bottom w:type="dxa" w:w="80"/>
              <w:right w:type="dxa" w:w="100"/>
            </w:tcMar>
          </w:tcPr>
          <w:p>
            <w:r>
              <w:rPr>
                <w:b w:val="false"/>
                <w:bCs w:val="false"/>
                <w:color w:val="000000"/>
                <w:sz w:val="20"/>
                <w:szCs w:val="20"/>
              </w:rPr>
              <w:t xml:space="preserve">Evaluation</w:t>
            </w:r>
          </w:p>
        </w:tc>
        <w:tc>
          <w:tcPr>
            <w:tcW w:type="dxa" w:w="6000"/>
            <w:tcMar>
              <w:top w:type="dxa" w:w="80"/>
              <w:left w:type="dxa" w:w="100"/>
              <w:bottom w:type="dxa" w:w="80"/>
              <w:right w:type="dxa" w:w="100"/>
            </w:tcMar>
          </w:tcPr>
          <w:p>
            <w:r>
              <w:rPr>
                <w:b w:val="false"/>
                <w:bCs w:val="false"/>
                <w:color w:val="000000"/>
                <w:sz w:val="20"/>
                <w:szCs w:val="20"/>
              </w:rPr>
              <w:t xml:space="preserve">Drift %, RMSE, speed MAE, ablation comparisons</w:t>
            </w:r>
          </w:p>
        </w:tc>
      </w:tr>
      <w:tr>
        <w:tc>
          <w:tcPr>
            <w:tcW w:type="dxa" w:w="3000"/>
            <w:tcMar>
              <w:top w:type="dxa" w:w="80"/>
              <w:left w:type="dxa" w:w="100"/>
              <w:bottom w:type="dxa" w:w="80"/>
              <w:right w:type="dxa" w:w="100"/>
            </w:tcMar>
          </w:tcPr>
          <w:p>
            <w:r>
              <w:rPr>
                <w:b w:val="false"/>
                <w:bCs w:val="false"/>
                <w:color w:val="000000"/>
                <w:sz w:val="20"/>
                <w:szCs w:val="20"/>
              </w:rPr>
              <w:t xml:space="preserve">Mobile/Edge Deployment</w:t>
            </w:r>
          </w:p>
        </w:tc>
        <w:tc>
          <w:tcPr>
            <w:tcW w:type="dxa" w:w="6000"/>
            <w:tcMar>
              <w:top w:type="dxa" w:w="80"/>
              <w:left w:type="dxa" w:w="100"/>
              <w:bottom w:type="dxa" w:w="80"/>
              <w:right w:type="dxa" w:w="100"/>
            </w:tcMar>
          </w:tcPr>
          <w:p>
            <w:r>
              <w:rPr>
                <w:b w:val="false"/>
                <w:bCs w:val="false"/>
                <w:color w:val="000000"/>
                <w:sz w:val="20"/>
                <w:szCs w:val="20"/>
              </w:rPr>
              <w:t xml:space="preserve">TFLite/ONNX export, Android app, external-IMU edge engine</w:t>
            </w:r>
          </w:p>
        </w:tc>
      </w:tr>
    </w:tbl>
    <w:p>
      <w:pPr>
        <w:pStyle w:val="Heading2"/>
        <w:spacing w:after="120" w:before="240"/>
      </w:pPr>
      <w:r>
        <w:rPr>
          <w:b/>
          <w:bCs/>
          <w:color w:val="2E74B5"/>
          <w:sz w:val="24"/>
          <w:szCs w:val="24"/>
        </w:rPr>
        <w:t xml:space="preserve">3.3 Technology Stack</w:t>
      </w:r>
    </w:p>
    <w:p>
      <w:pPr>
        <w:pStyle w:val="ListParagraph"/>
        <w:numPr>
          <w:ilvl w:val="0"/>
          <w:numId w:val="2"/>
        </w:numPr>
        <w:spacing w:after="80" w:line="280"/>
      </w:pPr>
      <w:r>
        <w:rPr>
          <w:sz w:val="22"/>
          <w:szCs w:val="22"/>
        </w:rPr>
        <w:t xml:space="preserve">Modelling &amp; Research: Python, PyTorch, NumPy, Pandas, SciPy, Scikit-learn</w:t>
      </w:r>
    </w:p>
    <w:p>
      <w:pPr>
        <w:pStyle w:val="ListParagraph"/>
        <w:numPr>
          <w:ilvl w:val="0"/>
          <w:numId w:val="2"/>
        </w:numPr>
        <w:spacing w:after="80" w:line="280"/>
      </w:pPr>
      <w:r>
        <w:rPr>
          <w:sz w:val="22"/>
          <w:szCs w:val="22"/>
        </w:rPr>
        <w:t xml:space="preserve">Sensor Fusion: FilterPy / custom Extended Kalman Filter implementation</w:t>
      </w:r>
    </w:p>
    <w:p>
      <w:pPr>
        <w:pStyle w:val="ListParagraph"/>
        <w:numPr>
          <w:ilvl w:val="0"/>
          <w:numId w:val="2"/>
        </w:numPr>
        <w:spacing w:after="80" w:line="280"/>
      </w:pPr>
      <w:r>
        <w:rPr>
          <w:sz w:val="22"/>
          <w:szCs w:val="22"/>
        </w:rPr>
        <w:t xml:space="preserve">Geospatial / Map-Matching: OSMnx, Shapely, PyProj, GeoPandas, OpenStreetMap</w:t>
      </w:r>
    </w:p>
    <w:p>
      <w:pPr>
        <w:pStyle w:val="ListParagraph"/>
        <w:numPr>
          <w:ilvl w:val="0"/>
          <w:numId w:val="2"/>
        </w:numPr>
        <w:spacing w:after="80" w:line="280"/>
      </w:pPr>
      <w:r>
        <w:rPr>
          <w:sz w:val="22"/>
          <w:szCs w:val="22"/>
        </w:rPr>
        <w:t xml:space="preserve">Edge Deployment: TensorFlow Lite / LiteRT, INT8 post-training quantization</w:t>
      </w:r>
    </w:p>
    <w:p>
      <w:pPr>
        <w:pStyle w:val="ListParagraph"/>
        <w:numPr>
          <w:ilvl w:val="0"/>
          <w:numId w:val="2"/>
        </w:numPr>
        <w:spacing w:after="80" w:line="280"/>
      </w:pPr>
      <w:r>
        <w:rPr>
          <w:sz w:val="22"/>
          <w:szCs w:val="22"/>
        </w:rPr>
        <w:t xml:space="preserve">Mobile Application: Android Studio, Kotlin, native SensorManager, raw GnssStatus/GnssMeasurementsEvent APIs, OSMDroid</w:t>
      </w:r>
    </w:p>
    <w:p>
      <w:pPr>
        <w:pStyle w:val="ListParagraph"/>
        <w:numPr>
          <w:ilvl w:val="0"/>
          <w:numId w:val="2"/>
        </w:numPr>
        <w:spacing w:after="80" w:line="280"/>
      </w:pPr>
      <w:r>
        <w:rPr>
          <w:sz w:val="22"/>
          <w:szCs w:val="22"/>
        </w:rPr>
        <w:t xml:space="preserve">Dataset: IO-VNBD (Inertial and Odometry Benchmark Dataset for Ground Vehicle Positioning)</w:t>
      </w:r>
    </w:p>
    <w:p>
      <w:pPr>
        <w:pStyle w:val="ListParagraph"/>
        <w:numPr>
          <w:ilvl w:val="0"/>
          <w:numId w:val="2"/>
        </w:numPr>
        <w:spacing w:after="80" w:line="280"/>
      </w:pPr>
      <w:r>
        <w:rPr>
          <w:sz w:val="22"/>
          <w:szCs w:val="22"/>
        </w:rPr>
        <w:t xml:space="preserve">Version Control: Git / GitHub</w:t>
      </w:r>
    </w:p>
    <w:p>
      <w:r>
        <w:br w:type="page"/>
      </w:r>
    </w:p>
    <w:p>
      <w:pPr>
        <w:pStyle w:val="Heading1"/>
        <w:spacing w:after="160" w:before="320"/>
      </w:pPr>
      <w:r>
        <w:rPr>
          <w:b/>
          <w:bCs/>
          <w:color w:val="1F3864"/>
          <w:sz w:val="30"/>
          <w:szCs w:val="30"/>
        </w:rPr>
        <w:t xml:space="preserve">4. Methodology and Implementation Plan</w:t>
      </w:r>
    </w:p>
    <w:p>
      <w:pPr>
        <w:spacing w:after="140" w:line="300"/>
      </w:pPr>
      <w:r>
        <w:rPr>
          <w:sz w:val="22"/>
          <w:szCs w:val="22"/>
        </w:rPr>
        <w:t xml:space="preserve">Development follows a strict “prove the baseline fails, then prove each module reduces drift” discipline, so every added component is backed by a measurable improvement rather than an unverified claim.</w:t>
      </w:r>
    </w:p>
    <w:p>
      <w:pPr>
        <w:pStyle w:val="Heading2"/>
        <w:spacing w:after="120" w:before="240"/>
      </w:pPr>
      <w:r>
        <w:rPr>
          <w:b/>
          <w:bCs/>
          <w:color w:val="2E74B5"/>
          <w:sz w:val="24"/>
          <w:szCs w:val="24"/>
        </w:rPr>
        <w:t xml:space="preserve">4.1 Implementation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DDEBF7" w:val="clear"/>
            <w:tcMar>
              <w:top w:type="dxa" w:w="80"/>
              <w:left w:type="dxa" w:w="100"/>
              <w:bottom w:type="dxa" w:w="80"/>
              <w:right w:type="dxa" w:w="100"/>
            </w:tcMar>
          </w:tcPr>
          <w:p>
            <w:r>
              <w:rPr>
                <w:b/>
                <w:bCs/>
                <w:color w:val="000000"/>
                <w:sz w:val="20"/>
                <w:szCs w:val="20"/>
              </w:rPr>
              <w:t xml:space="preserve">Milestone</w:t>
            </w:r>
          </w:p>
        </w:tc>
        <w:tc>
          <w:tcPr>
            <w:tcW w:type="dxa" w:w="7400"/>
            <w:shd w:fill="DDEBF7" w:val="clear"/>
            <w:tcMar>
              <w:top w:type="dxa" w:w="80"/>
              <w:left w:type="dxa" w:w="100"/>
              <w:bottom w:type="dxa" w:w="80"/>
              <w:right w:type="dxa" w:w="100"/>
            </w:tcMar>
          </w:tcPr>
          <w:p>
            <w:r>
              <w:rPr>
                <w:b/>
                <w:bCs/>
                <w:color w:val="000000"/>
                <w:sz w:val="20"/>
                <w:szCs w:val="20"/>
              </w:rPr>
              <w:t xml:space="preserve">Deliverable</w:t>
            </w:r>
          </w:p>
        </w:tc>
      </w:tr>
      <w:tr>
        <w:tc>
          <w:tcPr>
            <w:tcW w:type="dxa" w:w="1600"/>
            <w:tcMar>
              <w:top w:type="dxa" w:w="80"/>
              <w:left w:type="dxa" w:w="100"/>
              <w:bottom w:type="dxa" w:w="80"/>
              <w:right w:type="dxa" w:w="100"/>
            </w:tcMar>
          </w:tcPr>
          <w:p>
            <w:r>
              <w:rPr>
                <w:b w:val="false"/>
                <w:bCs w:val="false"/>
                <w:color w:val="000000"/>
                <w:sz w:val="20"/>
                <w:szCs w:val="20"/>
              </w:rPr>
              <w:t xml:space="preserve">M1</w:t>
            </w:r>
          </w:p>
        </w:tc>
        <w:tc>
          <w:tcPr>
            <w:tcW w:type="dxa" w:w="7400"/>
            <w:tcMar>
              <w:top w:type="dxa" w:w="80"/>
              <w:left w:type="dxa" w:w="100"/>
              <w:bottom w:type="dxa" w:w="80"/>
              <w:right w:type="dxa" w:w="100"/>
            </w:tcMar>
          </w:tcPr>
          <w:p>
            <w:r>
              <w:rPr>
                <w:b w:val="false"/>
                <w:bCs w:val="false"/>
                <w:color w:val="000000"/>
                <w:sz w:val="20"/>
                <w:szCs w:val="20"/>
              </w:rPr>
              <w:t xml:space="preserve">IO-VNBD ingestion, ENU coordinate conversion, GNSS-outage simulator, raw IMU and baseline EKF drift comparison</w:t>
            </w:r>
          </w:p>
        </w:tc>
      </w:tr>
      <w:tr>
        <w:tc>
          <w:tcPr>
            <w:tcW w:type="dxa" w:w="1600"/>
            <w:tcMar>
              <w:top w:type="dxa" w:w="80"/>
              <w:left w:type="dxa" w:w="100"/>
              <w:bottom w:type="dxa" w:w="80"/>
              <w:right w:type="dxa" w:w="100"/>
            </w:tcMar>
          </w:tcPr>
          <w:p>
            <w:r>
              <w:rPr>
                <w:b w:val="false"/>
                <w:bCs w:val="false"/>
                <w:color w:val="000000"/>
                <w:sz w:val="20"/>
                <w:szCs w:val="20"/>
              </w:rPr>
              <w:t xml:space="preserve">M2</w:t>
            </w:r>
          </w:p>
        </w:tc>
        <w:tc>
          <w:tcPr>
            <w:tcW w:type="dxa" w:w="7400"/>
            <w:tcMar>
              <w:top w:type="dxa" w:w="80"/>
              <w:left w:type="dxa" w:w="100"/>
              <w:bottom w:type="dxa" w:w="80"/>
              <w:right w:type="dxa" w:w="100"/>
            </w:tcMar>
          </w:tcPr>
          <w:p>
            <w:r>
              <w:rPr>
                <w:b w:val="false"/>
                <w:bCs w:val="false"/>
                <w:color w:val="000000"/>
                <w:sz w:val="20"/>
                <w:szCs w:val="20"/>
              </w:rPr>
              <w:t xml:space="preserve">Gravity/orientation calibration, ZUPT, non-holonomic constraints, GNSS innovation gating</w:t>
            </w:r>
          </w:p>
        </w:tc>
      </w:tr>
      <w:tr>
        <w:tc>
          <w:tcPr>
            <w:tcW w:type="dxa" w:w="1600"/>
            <w:tcMar>
              <w:top w:type="dxa" w:w="80"/>
              <w:left w:type="dxa" w:w="100"/>
              <w:bottom w:type="dxa" w:w="80"/>
              <w:right w:type="dxa" w:w="100"/>
            </w:tcMar>
          </w:tcPr>
          <w:p>
            <w:r>
              <w:rPr>
                <w:b w:val="false"/>
                <w:bCs w:val="false"/>
                <w:color w:val="000000"/>
                <w:sz w:val="20"/>
                <w:szCs w:val="20"/>
              </w:rPr>
              <w:t xml:space="preserve">M3</w:t>
            </w:r>
          </w:p>
        </w:tc>
        <w:tc>
          <w:tcPr>
            <w:tcW w:type="dxa" w:w="7400"/>
            <w:tcMar>
              <w:top w:type="dxa" w:w="80"/>
              <w:left w:type="dxa" w:w="100"/>
              <w:bottom w:type="dxa" w:w="80"/>
              <w:right w:type="dxa" w:w="100"/>
            </w:tcMar>
          </w:tcPr>
          <w:p>
            <w:r>
              <w:rPr>
                <w:b w:val="false"/>
                <w:bCs w:val="false"/>
                <w:color w:val="000000"/>
                <w:sz w:val="20"/>
                <w:szCs w:val="20"/>
              </w:rPr>
              <w:t xml:space="preserve">AI speed + motion-class + calibrated-confidence model trained and validated on held-out routes</w:t>
            </w:r>
          </w:p>
        </w:tc>
      </w:tr>
      <w:tr>
        <w:tc>
          <w:tcPr>
            <w:tcW w:type="dxa" w:w="1600"/>
            <w:tcMar>
              <w:top w:type="dxa" w:w="80"/>
              <w:left w:type="dxa" w:w="100"/>
              <w:bottom w:type="dxa" w:w="80"/>
              <w:right w:type="dxa" w:w="100"/>
            </w:tcMar>
          </w:tcPr>
          <w:p>
            <w:r>
              <w:rPr>
                <w:b w:val="false"/>
                <w:bCs w:val="false"/>
                <w:color w:val="000000"/>
                <w:sz w:val="20"/>
                <w:szCs w:val="20"/>
              </w:rPr>
              <w:t xml:space="preserve">M4</w:t>
            </w:r>
          </w:p>
        </w:tc>
        <w:tc>
          <w:tcPr>
            <w:tcW w:type="dxa" w:w="7400"/>
            <w:tcMar>
              <w:top w:type="dxa" w:w="80"/>
              <w:left w:type="dxa" w:w="100"/>
              <w:bottom w:type="dxa" w:w="80"/>
              <w:right w:type="dxa" w:w="100"/>
            </w:tcMar>
          </w:tcPr>
          <w:p>
            <w:r>
              <w:rPr>
                <w:b w:val="false"/>
                <w:bCs w:val="false"/>
                <w:color w:val="000000"/>
                <w:sz w:val="20"/>
                <w:szCs w:val="20"/>
              </w:rPr>
              <w:t xml:space="preserve">Adaptive EKF fusion integrating AI output; full ablation study across all configurations</w:t>
            </w:r>
          </w:p>
        </w:tc>
      </w:tr>
      <w:tr>
        <w:tc>
          <w:tcPr>
            <w:tcW w:type="dxa" w:w="1600"/>
            <w:tcMar>
              <w:top w:type="dxa" w:w="80"/>
              <w:left w:type="dxa" w:w="100"/>
              <w:bottom w:type="dxa" w:w="80"/>
              <w:right w:type="dxa" w:w="100"/>
            </w:tcMar>
          </w:tcPr>
          <w:p>
            <w:r>
              <w:rPr>
                <w:b w:val="false"/>
                <w:bCs w:val="false"/>
                <w:color w:val="000000"/>
                <w:sz w:val="20"/>
                <w:szCs w:val="20"/>
              </w:rPr>
              <w:t xml:space="preserve">M5</w:t>
            </w:r>
          </w:p>
        </w:tc>
        <w:tc>
          <w:tcPr>
            <w:tcW w:type="dxa" w:w="7400"/>
            <w:tcMar>
              <w:top w:type="dxa" w:w="80"/>
              <w:left w:type="dxa" w:w="100"/>
              <w:bottom w:type="dxa" w:w="80"/>
              <w:right w:type="dxa" w:w="100"/>
            </w:tcMar>
          </w:tcPr>
          <w:p>
            <w:r>
              <w:rPr>
                <w:b w:val="false"/>
                <w:bCs w:val="false"/>
                <w:color w:val="000000"/>
                <w:sz w:val="20"/>
                <w:szCs w:val="20"/>
              </w:rPr>
              <w:t xml:space="preserve">Offline OSM map-matching; model quantization and edge-latency benchmarking</w:t>
            </w:r>
          </w:p>
        </w:tc>
      </w:tr>
      <w:tr>
        <w:tc>
          <w:tcPr>
            <w:tcW w:type="dxa" w:w="1600"/>
            <w:tcMar>
              <w:top w:type="dxa" w:w="80"/>
              <w:left w:type="dxa" w:w="100"/>
              <w:bottom w:type="dxa" w:w="80"/>
              <w:right w:type="dxa" w:w="100"/>
            </w:tcMar>
          </w:tcPr>
          <w:p>
            <w:r>
              <w:rPr>
                <w:b w:val="false"/>
                <w:bCs w:val="false"/>
                <w:color w:val="000000"/>
                <w:sz w:val="20"/>
                <w:szCs w:val="20"/>
              </w:rPr>
              <w:t xml:space="preserve">M6</w:t>
            </w:r>
          </w:p>
        </w:tc>
        <w:tc>
          <w:tcPr>
            <w:tcW w:type="dxa" w:w="7400"/>
            <w:tcMar>
              <w:top w:type="dxa" w:w="80"/>
              <w:left w:type="dxa" w:w="100"/>
              <w:bottom w:type="dxa" w:w="80"/>
              <w:right w:type="dxa" w:w="100"/>
            </w:tcMar>
          </w:tcPr>
          <w:p>
            <w:r>
              <w:rPr>
                <w:b w:val="false"/>
                <w:bCs w:val="false"/>
                <w:color w:val="000000"/>
                <w:sz w:val="20"/>
                <w:szCs w:val="20"/>
              </w:rPr>
              <w:t xml:space="preserve">Android application, real-road validation drives, final demonstration and reporting</w:t>
            </w:r>
          </w:p>
        </w:tc>
      </w:tr>
    </w:tbl>
    <w:p>
      <w:pPr>
        <w:pStyle w:val="Heading2"/>
        <w:spacing w:after="120" w:before="240"/>
      </w:pPr>
      <w:r>
        <w:rPr>
          <w:b/>
          <w:bCs/>
          <w:color w:val="2E74B5"/>
          <w:sz w:val="24"/>
          <w:szCs w:val="24"/>
        </w:rPr>
        <w:t xml:space="preserve">4.2 Evaluation Methodology</w:t>
      </w:r>
    </w:p>
    <w:p>
      <w:pPr>
        <w:spacing w:after="140" w:line="300"/>
      </w:pPr>
      <w:r>
        <w:rPr>
          <w:sz w:val="22"/>
          <w:szCs w:val="22"/>
        </w:rPr>
        <w:t xml:space="preserve">Artificial GNSS outages of 15, 30, and 60 seconds are injected into IO-VNBD sequences (and later, real recorded drives) while ground truth remains available for scoring. Each pipeline stage is compared against the previous one using an ablation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tcW w:type="dxa" w:w="4500"/>
            <w:shd w:fill="DDEBF7" w:val="clear"/>
            <w:tcMar>
              <w:top w:type="dxa" w:w="80"/>
              <w:left w:type="dxa" w:w="100"/>
              <w:bottom w:type="dxa" w:w="80"/>
              <w:right w:type="dxa" w:w="100"/>
            </w:tcMar>
          </w:tcPr>
          <w:p>
            <w:r>
              <w:rPr>
                <w:b/>
                <w:bCs/>
                <w:color w:val="000000"/>
                <w:sz w:val="20"/>
                <w:szCs w:val="20"/>
              </w:rPr>
              <w:t xml:space="preserve">Configuration</w:t>
            </w:r>
          </w:p>
        </w:tc>
        <w:tc>
          <w:tcPr>
            <w:tcW w:type="dxa" w:w="2250"/>
            <w:shd w:fill="DDEBF7" w:val="clear"/>
            <w:tcMar>
              <w:top w:type="dxa" w:w="80"/>
              <w:left w:type="dxa" w:w="100"/>
              <w:bottom w:type="dxa" w:w="80"/>
              <w:right w:type="dxa" w:w="100"/>
            </w:tcMar>
          </w:tcPr>
          <w:p>
            <w:r>
              <w:rPr>
                <w:b/>
                <w:bCs/>
                <w:color w:val="000000"/>
                <w:sz w:val="20"/>
                <w:szCs w:val="20"/>
              </w:rPr>
              <w:t xml:space="preserve">Drift % (30s)</w:t>
            </w:r>
          </w:p>
        </w:tc>
        <w:tc>
          <w:tcPr>
            <w:tcW w:type="dxa" w:w="2250"/>
            <w:shd w:fill="DDEBF7" w:val="clear"/>
            <w:tcMar>
              <w:top w:type="dxa" w:w="80"/>
              <w:left w:type="dxa" w:w="100"/>
              <w:bottom w:type="dxa" w:w="80"/>
              <w:right w:type="dxa" w:w="100"/>
            </w:tcMar>
          </w:tcPr>
          <w:p>
            <w:r>
              <w:rPr>
                <w:b/>
                <w:bCs/>
                <w:color w:val="000000"/>
                <w:sz w:val="20"/>
                <w:szCs w:val="20"/>
              </w:rPr>
              <w:t xml:space="preserve">Drift % (60s)</w:t>
            </w:r>
          </w:p>
        </w:tc>
      </w:tr>
      <w:tr>
        <w:tc>
          <w:tcPr>
            <w:tcW w:type="dxa" w:w="4500"/>
            <w:tcMar>
              <w:top w:type="dxa" w:w="80"/>
              <w:left w:type="dxa" w:w="100"/>
              <w:bottom w:type="dxa" w:w="80"/>
              <w:right w:type="dxa" w:w="100"/>
            </w:tcMar>
          </w:tcPr>
          <w:p>
            <w:r>
              <w:rPr>
                <w:b w:val="false"/>
                <w:bCs w:val="false"/>
                <w:color w:val="000000"/>
                <w:sz w:val="20"/>
                <w:szCs w:val="20"/>
              </w:rPr>
              <w:t xml:space="preserve">Raw IMU dead reckoning</w:t>
            </w:r>
          </w:p>
        </w:tc>
        <w:tc>
          <w:tcPr>
            <w:tcW w:type="dxa" w:w="2250"/>
            <w:tcMar>
              <w:top w:type="dxa" w:w="80"/>
              <w:left w:type="dxa" w:w="100"/>
              <w:bottom w:type="dxa" w:w="80"/>
              <w:right w:type="dxa" w:w="100"/>
            </w:tcMar>
          </w:tcPr>
          <w:p>
            <w:r>
              <w:rPr>
                <w:b w:val="false"/>
                <w:bCs w:val="false"/>
                <w:color w:val="000000"/>
                <w:sz w:val="20"/>
                <w:szCs w:val="20"/>
              </w:rPr>
              <w:t xml:space="preserve">[TBD]</w:t>
            </w:r>
          </w:p>
        </w:tc>
        <w:tc>
          <w:tcPr>
            <w:tcW w:type="dxa" w:w="2250"/>
            <w:tcMar>
              <w:top w:type="dxa" w:w="80"/>
              <w:left w:type="dxa" w:w="100"/>
              <w:bottom w:type="dxa" w:w="80"/>
              <w:right w:type="dxa" w:w="100"/>
            </w:tcMar>
          </w:tcPr>
          <w:p>
            <w:r>
              <w:rPr>
                <w:b w:val="false"/>
                <w:bCs w:val="false"/>
                <w:color w:val="000000"/>
                <w:sz w:val="20"/>
                <w:szCs w:val="20"/>
              </w:rPr>
              <w:t xml:space="preserve">[TBD]</w:t>
            </w:r>
          </w:p>
        </w:tc>
      </w:tr>
      <w:tr>
        <w:tc>
          <w:tcPr>
            <w:tcW w:type="dxa" w:w="4500"/>
            <w:tcMar>
              <w:top w:type="dxa" w:w="80"/>
              <w:left w:type="dxa" w:w="100"/>
              <w:bottom w:type="dxa" w:w="80"/>
              <w:right w:type="dxa" w:w="100"/>
            </w:tcMar>
          </w:tcPr>
          <w:p>
            <w:r>
              <w:rPr>
                <w:b w:val="false"/>
                <w:bCs w:val="false"/>
                <w:color w:val="000000"/>
                <w:sz w:val="20"/>
                <w:szCs w:val="20"/>
              </w:rPr>
              <w:t xml:space="preserve">EKF (GNSS-INS baseline)</w:t>
            </w:r>
          </w:p>
        </w:tc>
        <w:tc>
          <w:tcPr>
            <w:tcW w:type="dxa" w:w="2250"/>
            <w:tcMar>
              <w:top w:type="dxa" w:w="80"/>
              <w:left w:type="dxa" w:w="100"/>
              <w:bottom w:type="dxa" w:w="80"/>
              <w:right w:type="dxa" w:w="100"/>
            </w:tcMar>
          </w:tcPr>
          <w:p>
            <w:r>
              <w:rPr>
                <w:b w:val="false"/>
                <w:bCs w:val="false"/>
                <w:color w:val="000000"/>
                <w:sz w:val="20"/>
                <w:szCs w:val="20"/>
              </w:rPr>
              <w:t xml:space="preserve">[TBD]</w:t>
            </w:r>
          </w:p>
        </w:tc>
        <w:tc>
          <w:tcPr>
            <w:tcW w:type="dxa" w:w="2250"/>
            <w:tcMar>
              <w:top w:type="dxa" w:w="80"/>
              <w:left w:type="dxa" w:w="100"/>
              <w:bottom w:type="dxa" w:w="80"/>
              <w:right w:type="dxa" w:w="100"/>
            </w:tcMar>
          </w:tcPr>
          <w:p>
            <w:r>
              <w:rPr>
                <w:b w:val="false"/>
                <w:bCs w:val="false"/>
                <w:color w:val="000000"/>
                <w:sz w:val="20"/>
                <w:szCs w:val="20"/>
              </w:rPr>
              <w:t xml:space="preserve">[TBD]</w:t>
            </w:r>
          </w:p>
        </w:tc>
      </w:tr>
      <w:tr>
        <w:tc>
          <w:tcPr>
            <w:tcW w:type="dxa" w:w="4500"/>
            <w:tcMar>
              <w:top w:type="dxa" w:w="80"/>
              <w:left w:type="dxa" w:w="100"/>
              <w:bottom w:type="dxa" w:w="80"/>
              <w:right w:type="dxa" w:w="100"/>
            </w:tcMar>
          </w:tcPr>
          <w:p>
            <w:r>
              <w:rPr>
                <w:b w:val="false"/>
                <w:bCs w:val="false"/>
                <w:color w:val="000000"/>
                <w:sz w:val="20"/>
                <w:szCs w:val="20"/>
              </w:rPr>
              <w:t xml:space="preserve">EKF + ZUPT + NHC</w:t>
            </w:r>
          </w:p>
        </w:tc>
        <w:tc>
          <w:tcPr>
            <w:tcW w:type="dxa" w:w="2250"/>
            <w:tcMar>
              <w:top w:type="dxa" w:w="80"/>
              <w:left w:type="dxa" w:w="100"/>
              <w:bottom w:type="dxa" w:w="80"/>
              <w:right w:type="dxa" w:w="100"/>
            </w:tcMar>
          </w:tcPr>
          <w:p>
            <w:r>
              <w:rPr>
                <w:b w:val="false"/>
                <w:bCs w:val="false"/>
                <w:color w:val="000000"/>
                <w:sz w:val="20"/>
                <w:szCs w:val="20"/>
              </w:rPr>
              <w:t xml:space="preserve">[TBD]</w:t>
            </w:r>
          </w:p>
        </w:tc>
        <w:tc>
          <w:tcPr>
            <w:tcW w:type="dxa" w:w="2250"/>
            <w:tcMar>
              <w:top w:type="dxa" w:w="80"/>
              <w:left w:type="dxa" w:w="100"/>
              <w:bottom w:type="dxa" w:w="80"/>
              <w:right w:type="dxa" w:w="100"/>
            </w:tcMar>
          </w:tcPr>
          <w:p>
            <w:r>
              <w:rPr>
                <w:b w:val="false"/>
                <w:bCs w:val="false"/>
                <w:color w:val="000000"/>
                <w:sz w:val="20"/>
                <w:szCs w:val="20"/>
              </w:rPr>
              <w:t xml:space="preserve">[TBD]</w:t>
            </w:r>
          </w:p>
        </w:tc>
      </w:tr>
      <w:tr>
        <w:tc>
          <w:tcPr>
            <w:tcW w:type="dxa" w:w="4500"/>
            <w:tcMar>
              <w:top w:type="dxa" w:w="80"/>
              <w:left w:type="dxa" w:w="100"/>
              <w:bottom w:type="dxa" w:w="80"/>
              <w:right w:type="dxa" w:w="100"/>
            </w:tcMar>
          </w:tcPr>
          <w:p>
            <w:r>
              <w:rPr>
                <w:b w:val="false"/>
                <w:bCs w:val="false"/>
                <w:color w:val="000000"/>
                <w:sz w:val="20"/>
                <w:szCs w:val="20"/>
              </w:rPr>
              <w:t xml:space="preserve">EKF + AI speed</w:t>
            </w:r>
          </w:p>
        </w:tc>
        <w:tc>
          <w:tcPr>
            <w:tcW w:type="dxa" w:w="2250"/>
            <w:tcMar>
              <w:top w:type="dxa" w:w="80"/>
              <w:left w:type="dxa" w:w="100"/>
              <w:bottom w:type="dxa" w:w="80"/>
              <w:right w:type="dxa" w:w="100"/>
            </w:tcMar>
          </w:tcPr>
          <w:p>
            <w:r>
              <w:rPr>
                <w:b w:val="false"/>
                <w:bCs w:val="false"/>
                <w:color w:val="000000"/>
                <w:sz w:val="20"/>
                <w:szCs w:val="20"/>
              </w:rPr>
              <w:t xml:space="preserve">[TBD]</w:t>
            </w:r>
          </w:p>
        </w:tc>
        <w:tc>
          <w:tcPr>
            <w:tcW w:type="dxa" w:w="2250"/>
            <w:tcMar>
              <w:top w:type="dxa" w:w="80"/>
              <w:left w:type="dxa" w:w="100"/>
              <w:bottom w:type="dxa" w:w="80"/>
              <w:right w:type="dxa" w:w="100"/>
            </w:tcMar>
          </w:tcPr>
          <w:p>
            <w:r>
              <w:rPr>
                <w:b w:val="false"/>
                <w:bCs w:val="false"/>
                <w:color w:val="000000"/>
                <w:sz w:val="20"/>
                <w:szCs w:val="20"/>
              </w:rPr>
              <w:t xml:space="preserve">[TBD]</w:t>
            </w:r>
          </w:p>
        </w:tc>
      </w:tr>
      <w:tr>
        <w:tc>
          <w:tcPr>
            <w:tcW w:type="dxa" w:w="4500"/>
            <w:tcMar>
              <w:top w:type="dxa" w:w="80"/>
              <w:left w:type="dxa" w:w="100"/>
              <w:bottom w:type="dxa" w:w="80"/>
              <w:right w:type="dxa" w:w="100"/>
            </w:tcMar>
          </w:tcPr>
          <w:p>
            <w:r>
              <w:rPr>
                <w:b/>
                <w:bCs/>
                <w:color w:val="000000"/>
                <w:sz w:val="20"/>
                <w:szCs w:val="20"/>
              </w:rPr>
              <w:t xml:space="preserve">Adaptive EKF + AI speed + confidence (full system)</w:t>
            </w:r>
          </w:p>
        </w:tc>
        <w:tc>
          <w:tcPr>
            <w:tcW w:type="dxa" w:w="2250"/>
            <w:tcMar>
              <w:top w:type="dxa" w:w="80"/>
              <w:left w:type="dxa" w:w="100"/>
              <w:bottom w:type="dxa" w:w="80"/>
              <w:right w:type="dxa" w:w="100"/>
            </w:tcMar>
          </w:tcPr>
          <w:p>
            <w:r>
              <w:rPr>
                <w:b w:val="false"/>
                <w:bCs w:val="false"/>
                <w:color w:val="000000"/>
                <w:sz w:val="20"/>
                <w:szCs w:val="20"/>
              </w:rPr>
              <w:t xml:space="preserve">[TBD]</w:t>
            </w:r>
          </w:p>
        </w:tc>
        <w:tc>
          <w:tcPr>
            <w:tcW w:type="dxa" w:w="2250"/>
            <w:tcMar>
              <w:top w:type="dxa" w:w="80"/>
              <w:left w:type="dxa" w:w="100"/>
              <w:bottom w:type="dxa" w:w="80"/>
              <w:right w:type="dxa" w:w="100"/>
            </w:tcMar>
          </w:tcPr>
          <w:p>
            <w:r>
              <w:rPr>
                <w:b w:val="false"/>
                <w:bCs w:val="false"/>
                <w:color w:val="000000"/>
                <w:sz w:val="20"/>
                <w:szCs w:val="20"/>
              </w:rPr>
              <w:t xml:space="preserve">[TBD]</w:t>
            </w:r>
          </w:p>
        </w:tc>
      </w:tr>
    </w:tbl>
    <w:p>
      <w:pPr>
        <w:spacing w:after="140" w:line="300"/>
      </w:pPr>
      <w:r>
        <w:rPr>
          <w:i/>
          <w:iCs/>
          <w:color w:val="595959"/>
          <w:sz w:val="22"/>
          <w:szCs w:val="22"/>
        </w:rPr>
        <w:t xml:space="preserve">Target: less than 10% positional drift relative to distance travelled during GNSS blackout, aligned with the ISRO-specified benchmark (e.g., under 100 m drift over a 1 km GNSS-denied stretch at 60 km/h).</w:t>
      </w:r>
    </w:p>
    <w:p>
      <w:r>
        <w:br w:type="page"/>
      </w:r>
    </w:p>
    <w:p>
      <w:pPr>
        <w:pStyle w:val="Heading1"/>
        <w:spacing w:after="160" w:before="320"/>
      </w:pPr>
      <w:r>
        <w:rPr>
          <w:b/>
          <w:bCs/>
          <w:color w:val="1F3864"/>
          <w:sz w:val="30"/>
          <w:szCs w:val="30"/>
        </w:rPr>
        <w:t xml:space="preserve">5. Feasibility and Viability</w:t>
      </w:r>
    </w:p>
    <w:p>
      <w:pPr>
        <w:pStyle w:val="Heading2"/>
        <w:spacing w:after="120" w:before="240"/>
      </w:pPr>
      <w:r>
        <w:rPr>
          <w:b/>
          <w:bCs/>
          <w:color w:val="2E74B5"/>
          <w:sz w:val="24"/>
          <w:szCs w:val="24"/>
        </w:rPr>
        <w:t xml:space="preserve">5.1 Feasibility</w:t>
      </w:r>
    </w:p>
    <w:p>
      <w:pPr>
        <w:pStyle w:val="ListParagraph"/>
        <w:numPr>
          <w:ilvl w:val="0"/>
          <w:numId w:val="2"/>
        </w:numPr>
        <w:spacing w:after="80" w:line="280"/>
      </w:pPr>
      <w:r>
        <w:rPr>
          <w:sz w:val="22"/>
          <w:szCs w:val="22"/>
        </w:rPr>
        <w:t xml:space="preserve">IO-VNBD provides a ready, publicly available benchmark dataset in CSV format, removing the need for large-scale data collection before development can begin.</w:t>
      </w:r>
    </w:p>
    <w:p>
      <w:pPr>
        <w:pStyle w:val="ListParagraph"/>
        <w:numPr>
          <w:ilvl w:val="0"/>
          <w:numId w:val="2"/>
        </w:numPr>
        <w:spacing w:after="80" w:line="280"/>
      </w:pPr>
      <w:r>
        <w:rPr>
          <w:sz w:val="22"/>
          <w:szCs w:val="22"/>
        </w:rPr>
        <w:t xml:space="preserve">The solution reuses standard smartphone hardware already present in the target vehicles — no new infrastructure or specialized sensors are required for the core deliverable.</w:t>
      </w:r>
    </w:p>
    <w:p>
      <w:pPr>
        <w:pStyle w:val="ListParagraph"/>
        <w:numPr>
          <w:ilvl w:val="0"/>
          <w:numId w:val="2"/>
        </w:numPr>
        <w:spacing w:after="80" w:line="280"/>
      </w:pPr>
      <w:r>
        <w:rPr>
          <w:sz w:val="22"/>
          <w:szCs w:val="22"/>
        </w:rPr>
        <w:t xml:space="preserve">TensorFlow Lite with INT8 quantization makes real-time (10 Hz) on-device inference realistic on commodity Android hardware.</w:t>
      </w:r>
    </w:p>
    <w:p>
      <w:pPr>
        <w:pStyle w:val="ListParagraph"/>
        <w:numPr>
          <w:ilvl w:val="0"/>
          <w:numId w:val="2"/>
        </w:numPr>
        <w:spacing w:after="80" w:line="280"/>
      </w:pPr>
      <w:r>
        <w:rPr>
          <w:sz w:val="22"/>
          <w:szCs w:val="22"/>
        </w:rPr>
        <w:t xml:space="preserve">Modular architecture allows the same trained models to serve both the mobile application and the edge-deployable software engine.</w:t>
      </w:r>
    </w:p>
    <w:p>
      <w:pPr>
        <w:pStyle w:val="Heading2"/>
        <w:spacing w:after="120" w:before="240"/>
      </w:pPr>
      <w:r>
        <w:rPr>
          <w:b/>
          <w:bCs/>
          <w:color w:val="2E74B5"/>
          <w:sz w:val="24"/>
          <w:szCs w:val="24"/>
        </w:rPr>
        <w:t xml:space="preserve">5.2 Viability</w:t>
      </w:r>
    </w:p>
    <w:p>
      <w:pPr>
        <w:pStyle w:val="ListParagraph"/>
        <w:numPr>
          <w:ilvl w:val="0"/>
          <w:numId w:val="2"/>
        </w:numPr>
        <w:spacing w:after="80" w:line="280"/>
      </w:pPr>
      <w:r>
        <w:rPr>
          <w:sz w:val="22"/>
          <w:szCs w:val="22"/>
        </w:rPr>
        <w:t xml:space="preserve">Dead reckoning and GNSS/INS fusion are well-established aerospace and robotics techniques; this project adapts them specifically to the noise characteristics of consumer-grade smartphone IMUs in Indian road conditions.</w:t>
      </w:r>
    </w:p>
    <w:p>
      <w:pPr>
        <w:pStyle w:val="ListParagraph"/>
        <w:numPr>
          <w:ilvl w:val="0"/>
          <w:numId w:val="2"/>
        </w:numPr>
        <w:spacing w:after="80" w:line="280"/>
      </w:pPr>
      <w:r>
        <w:rPr>
          <w:sz w:val="22"/>
          <w:szCs w:val="22"/>
        </w:rPr>
        <w:t xml:space="preserve">ISRO's own stated performance benchmark provides an objective, verifiable success criterion rather than a subjective claim.</w:t>
      </w:r>
    </w:p>
    <w:p>
      <w:pPr>
        <w:pStyle w:val="ListParagraph"/>
        <w:numPr>
          <w:ilvl w:val="0"/>
          <w:numId w:val="2"/>
        </w:numPr>
        <w:spacing w:after="80" w:line="280"/>
      </w:pPr>
      <w:r>
        <w:rPr>
          <w:sz w:val="22"/>
          <w:szCs w:val="22"/>
        </w:rPr>
        <w:t xml:space="preserve">A confidence-aware UI (visible uncertainty radius) builds user trust by avoiding falsely precise positioning during degraded conditions.</w:t>
      </w:r>
    </w:p>
    <w:p>
      <w:pPr>
        <w:pStyle w:val="Heading2"/>
        <w:spacing w:after="120" w:before="240"/>
      </w:pPr>
      <w:r>
        <w:rPr>
          <w:b/>
          <w:bCs/>
          <w:color w:val="2E74B5"/>
          <w:sz w:val="24"/>
          <w:szCs w:val="24"/>
        </w:rPr>
        <w:t xml:space="preserve">5.3 Impact Potential</w:t>
      </w:r>
    </w:p>
    <w:p>
      <w:pPr>
        <w:pStyle w:val="ListParagraph"/>
        <w:numPr>
          <w:ilvl w:val="0"/>
          <w:numId w:val="2"/>
        </w:numPr>
        <w:spacing w:after="80" w:line="280"/>
      </w:pPr>
      <w:r>
        <w:rPr>
          <w:sz w:val="22"/>
          <w:szCs w:val="22"/>
        </w:rPr>
        <w:t xml:space="preserve">Directly benefits ride-hailing, quick-commerce, and logistics fleets operating through tunnels, underground parking, and dense urban canyons.</w:t>
      </w:r>
    </w:p>
    <w:p>
      <w:pPr>
        <w:pStyle w:val="ListParagraph"/>
        <w:numPr>
          <w:ilvl w:val="0"/>
          <w:numId w:val="2"/>
        </w:numPr>
        <w:spacing w:after="80" w:line="280"/>
      </w:pPr>
      <w:r>
        <w:rPr>
          <w:sz w:val="22"/>
          <w:szCs w:val="22"/>
        </w:rPr>
        <w:t xml:space="preserve">Applicable to the millions of two-wheelers and older vehicles in India that have no factory-fitted INS and rely solely on smartphone navigation.</w:t>
      </w:r>
    </w:p>
    <w:p>
      <w:pPr>
        <w:pStyle w:val="ListParagraph"/>
        <w:numPr>
          <w:ilvl w:val="0"/>
          <w:numId w:val="2"/>
        </w:numPr>
        <w:spacing w:after="80" w:line="280"/>
      </w:pPr>
      <w:r>
        <w:rPr>
          <w:sz w:val="22"/>
          <w:szCs w:val="22"/>
        </w:rPr>
        <w:t xml:space="preserve">Pothole and vibration-event detection, already computed internally by the motion classifier, can be logged as a byproduct dataset of civic value for road-quality mapping.</w:t>
      </w:r>
    </w:p>
    <w:p>
      <w:pPr>
        <w:pStyle w:val="ListParagraph"/>
        <w:numPr>
          <w:ilvl w:val="0"/>
          <w:numId w:val="2"/>
        </w:numPr>
        <w:spacing w:after="80" w:line="280"/>
      </w:pPr>
      <w:r>
        <w:rPr>
          <w:sz w:val="22"/>
          <w:szCs w:val="22"/>
        </w:rPr>
        <w:t xml:space="preserve">Directly supports emergency responders who depend on uninterrupted navigation through GNSS-denied environments.</w:t>
      </w:r>
    </w:p>
    <w:p>
      <w:r>
        <w:br w:type="page"/>
      </w:r>
    </w:p>
    <w:p>
      <w:pPr>
        <w:pStyle w:val="Heading1"/>
        <w:spacing w:after="160" w:before="320"/>
      </w:pPr>
      <w:r>
        <w:rPr>
          <w:b/>
          <w:bCs/>
          <w:color w:val="1F3864"/>
          <w:sz w:val="30"/>
          <w:szCs w:val="30"/>
        </w:rPr>
        <w:t xml:space="preserve">6. Impact and 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c>
          <w:tcPr>
            <w:tcW w:type="dxa" w:w="2250"/>
            <w:shd w:fill="DDEBF7" w:val="clear"/>
            <w:tcMar>
              <w:top w:type="dxa" w:w="80"/>
              <w:left w:type="dxa" w:w="100"/>
              <w:bottom w:type="dxa" w:w="80"/>
              <w:right w:type="dxa" w:w="100"/>
            </w:tcMar>
          </w:tcPr>
          <w:p>
            <w:r>
              <w:rPr>
                <w:b/>
                <w:bCs/>
                <w:color w:val="000000"/>
                <w:sz w:val="20"/>
                <w:szCs w:val="20"/>
              </w:rPr>
              <w:t xml:space="preserve">Continuity</w:t>
            </w:r>
          </w:p>
        </w:tc>
        <w:tc>
          <w:tcPr>
            <w:tcW w:type="dxa" w:w="6750"/>
            <w:tcMar>
              <w:top w:type="dxa" w:w="80"/>
              <w:left w:type="dxa" w:w="100"/>
              <w:bottom w:type="dxa" w:w="80"/>
              <w:right w:type="dxa" w:w="100"/>
            </w:tcMar>
          </w:tcPr>
          <w:p>
            <w:r>
              <w:rPr>
                <w:b w:val="false"/>
                <w:bCs w:val="false"/>
                <w:color w:val="000000"/>
                <w:sz w:val="20"/>
                <w:szCs w:val="20"/>
              </w:rPr>
              <w:t xml:space="preserve">Navigation marker continues moving smoothly through GNSS outages instead of freezing or jumping.</w:t>
            </w:r>
          </w:p>
        </w:tc>
      </w:tr>
      <w:tr>
        <w:tc>
          <w:tcPr>
            <w:tcW w:type="dxa" w:w="2250"/>
            <w:shd w:fill="DDEBF7" w:val="clear"/>
            <w:tcMar>
              <w:top w:type="dxa" w:w="80"/>
              <w:left w:type="dxa" w:w="100"/>
              <w:bottom w:type="dxa" w:w="80"/>
              <w:right w:type="dxa" w:w="100"/>
            </w:tcMar>
          </w:tcPr>
          <w:p>
            <w:r>
              <w:rPr>
                <w:b/>
                <w:bCs/>
                <w:color w:val="000000"/>
                <w:sz w:val="20"/>
                <w:szCs w:val="20"/>
              </w:rPr>
              <w:t xml:space="preserve">Safety</w:t>
            </w:r>
          </w:p>
        </w:tc>
        <w:tc>
          <w:tcPr>
            <w:tcW w:type="dxa" w:w="6750"/>
            <w:tcMar>
              <w:top w:type="dxa" w:w="80"/>
              <w:left w:type="dxa" w:w="100"/>
              <w:bottom w:type="dxa" w:w="80"/>
              <w:right w:type="dxa" w:w="100"/>
            </w:tcMar>
          </w:tcPr>
          <w:p>
            <w:r>
              <w:rPr>
                <w:b w:val="false"/>
                <w:bCs w:val="false"/>
                <w:color w:val="000000"/>
                <w:sz w:val="20"/>
                <w:szCs w:val="20"/>
              </w:rPr>
              <w:t xml:space="preserve">Reduces missed exits and wrong turns inside tunnels and underground parking structures.</w:t>
            </w:r>
          </w:p>
        </w:tc>
      </w:tr>
      <w:tr>
        <w:tc>
          <w:tcPr>
            <w:tcW w:type="dxa" w:w="2250"/>
            <w:shd w:fill="DDEBF7" w:val="clear"/>
            <w:tcMar>
              <w:top w:type="dxa" w:w="80"/>
              <w:left w:type="dxa" w:w="100"/>
              <w:bottom w:type="dxa" w:w="80"/>
              <w:right w:type="dxa" w:w="100"/>
            </w:tcMar>
          </w:tcPr>
          <w:p>
            <w:r>
              <w:rPr>
                <w:b/>
                <w:bCs/>
                <w:color w:val="000000"/>
                <w:sz w:val="20"/>
                <w:szCs w:val="20"/>
              </w:rPr>
              <w:t xml:space="preserve">Accessibility</w:t>
            </w:r>
          </w:p>
        </w:tc>
        <w:tc>
          <w:tcPr>
            <w:tcW w:type="dxa" w:w="6750"/>
            <w:tcMar>
              <w:top w:type="dxa" w:w="80"/>
              <w:left w:type="dxa" w:w="100"/>
              <w:bottom w:type="dxa" w:w="80"/>
              <w:right w:type="dxa" w:w="100"/>
            </w:tcMar>
          </w:tcPr>
          <w:p>
            <w:r>
              <w:rPr>
                <w:b w:val="false"/>
                <w:bCs w:val="false"/>
                <w:color w:val="000000"/>
                <w:sz w:val="20"/>
                <w:szCs w:val="20"/>
              </w:rPr>
              <w:t xml:space="preserve">Works on any smartphone without requiring OBD-II access or factory INS hardware — including two-wheelers.</w:t>
            </w:r>
          </w:p>
        </w:tc>
      </w:tr>
      <w:tr>
        <w:tc>
          <w:tcPr>
            <w:tcW w:type="dxa" w:w="2250"/>
            <w:shd w:fill="DDEBF7" w:val="clear"/>
            <w:tcMar>
              <w:top w:type="dxa" w:w="80"/>
              <w:left w:type="dxa" w:w="100"/>
              <w:bottom w:type="dxa" w:w="80"/>
              <w:right w:type="dxa" w:w="100"/>
            </w:tcMar>
          </w:tcPr>
          <w:p>
            <w:r>
              <w:rPr>
                <w:b/>
                <w:bCs/>
                <w:color w:val="000000"/>
                <w:sz w:val="20"/>
                <w:szCs w:val="20"/>
              </w:rPr>
              <w:t xml:space="preserve">Reliability</w:t>
            </w:r>
          </w:p>
        </w:tc>
        <w:tc>
          <w:tcPr>
            <w:tcW w:type="dxa" w:w="6750"/>
            <w:tcMar>
              <w:top w:type="dxa" w:w="80"/>
              <w:left w:type="dxa" w:w="100"/>
              <w:bottom w:type="dxa" w:w="80"/>
              <w:right w:type="dxa" w:w="100"/>
            </w:tcMar>
          </w:tcPr>
          <w:p>
            <w:r>
              <w:rPr>
                <w:b w:val="false"/>
                <w:bCs w:val="false"/>
                <w:color w:val="000000"/>
                <w:sz w:val="20"/>
                <w:szCs w:val="20"/>
              </w:rPr>
              <w:t xml:space="preserve">Adaptive fusion and calibrated confidence bound drift to a known, benchmarked limit rather than degrading unpredictably.</w:t>
            </w:r>
          </w:p>
        </w:tc>
      </w:tr>
      <w:tr>
        <w:tc>
          <w:tcPr>
            <w:tcW w:type="dxa" w:w="2250"/>
            <w:shd w:fill="DDEBF7" w:val="clear"/>
            <w:tcMar>
              <w:top w:type="dxa" w:w="80"/>
              <w:left w:type="dxa" w:w="100"/>
              <w:bottom w:type="dxa" w:w="80"/>
              <w:right w:type="dxa" w:w="100"/>
            </w:tcMar>
          </w:tcPr>
          <w:p>
            <w:r>
              <w:rPr>
                <w:b/>
                <w:bCs/>
                <w:color w:val="000000"/>
                <w:sz w:val="20"/>
                <w:szCs w:val="20"/>
              </w:rPr>
              <w:t xml:space="preserve">Transparency</w:t>
            </w:r>
          </w:p>
        </w:tc>
        <w:tc>
          <w:tcPr>
            <w:tcW w:type="dxa" w:w="6750"/>
            <w:tcMar>
              <w:top w:type="dxa" w:w="80"/>
              <w:left w:type="dxa" w:w="100"/>
              <w:bottom w:type="dxa" w:w="80"/>
              <w:right w:type="dxa" w:w="100"/>
            </w:tcMar>
          </w:tcPr>
          <w:p>
            <w:r>
              <w:rPr>
                <w:b w:val="false"/>
                <w:bCs w:val="false"/>
                <w:color w:val="000000"/>
                <w:sz w:val="20"/>
                <w:szCs w:val="20"/>
              </w:rPr>
              <w:t xml:space="preserve">Confidence-ellipse UI communicates real positional uncertainty instead of a falsely precise marker.</w:t>
            </w:r>
          </w:p>
        </w:tc>
      </w:tr>
      <w:tr>
        <w:tc>
          <w:tcPr>
            <w:tcW w:type="dxa" w:w="2250"/>
            <w:shd w:fill="DDEBF7" w:val="clear"/>
            <w:tcMar>
              <w:top w:type="dxa" w:w="80"/>
              <w:left w:type="dxa" w:w="100"/>
              <w:bottom w:type="dxa" w:w="80"/>
              <w:right w:type="dxa" w:w="100"/>
            </w:tcMar>
          </w:tcPr>
          <w:p>
            <w:r>
              <w:rPr>
                <w:b/>
                <w:bCs/>
                <w:color w:val="000000"/>
                <w:sz w:val="20"/>
                <w:szCs w:val="20"/>
              </w:rPr>
              <w:t xml:space="preserve">Extensibility</w:t>
            </w:r>
          </w:p>
        </w:tc>
        <w:tc>
          <w:tcPr>
            <w:tcW w:type="dxa" w:w="6750"/>
            <w:tcMar>
              <w:top w:type="dxa" w:w="80"/>
              <w:left w:type="dxa" w:w="100"/>
              <w:bottom w:type="dxa" w:w="80"/>
              <w:right w:type="dxa" w:w="100"/>
            </w:tcMar>
          </w:tcPr>
          <w:p>
            <w:r>
              <w:rPr>
                <w:b w:val="false"/>
                <w:bCs w:val="false"/>
                <w:color w:val="000000"/>
                <w:sz w:val="20"/>
                <w:szCs w:val="20"/>
              </w:rPr>
              <w:t xml:space="preserve">Edge-deployable engine accepts external IMU sources (including FOG-grade sensors), beyond the smartphone use case alone.</w:t>
            </w:r>
          </w:p>
        </w:tc>
      </w:tr>
    </w:tbl>
    <w:p>
      <w:r>
        <w:br w:type="page"/>
      </w:r>
    </w:p>
    <w:p>
      <w:pPr>
        <w:pStyle w:val="Heading1"/>
        <w:spacing w:after="160" w:before="320"/>
      </w:pPr>
      <w:r>
        <w:rPr>
          <w:b/>
          <w:bCs/>
          <w:color w:val="1F3864"/>
          <w:sz w:val="30"/>
          <w:szCs w:val="30"/>
        </w:rPr>
        <w:t xml:space="preserve">7. Uniqueness of Our Approach</w:t>
      </w:r>
    </w:p>
    <w:p>
      <w:pPr>
        <w:spacing w:after="140" w:line="300"/>
      </w:pPr>
      <w:r>
        <w:rPr>
          <w:sz w:val="22"/>
          <w:szCs w:val="22"/>
        </w:rPr>
        <w:t xml:space="preserve">Where a typical submission applies a plain Extended Kalman Filter alongside a generic denoising network, our design differs in specific, defensible ways:</w:t>
      </w:r>
    </w:p>
    <w:p>
      <w:pPr>
        <w:pStyle w:val="ListParagraph"/>
        <w:numPr>
          <w:ilvl w:val="0"/>
          <w:numId w:val="2"/>
        </w:numPr>
        <w:spacing w:after="80" w:line="280"/>
      </w:pPr>
      <w:r>
        <w:rPr>
          <w:sz w:val="22"/>
          <w:szCs w:val="22"/>
        </w:rPr>
        <w:t xml:space="preserve">Calibrated, functional confidence: the AI model's uncertainty output is trained with a heteroscedastic Gaussian NLL loss so it can directly set the EKF's measurement-noise covariance — not a cosmetic add-on.</w:t>
      </w:r>
    </w:p>
    <w:p>
      <w:pPr>
        <w:pStyle w:val="ListParagraph"/>
        <w:numPr>
          <w:ilvl w:val="0"/>
          <w:numId w:val="2"/>
        </w:numPr>
        <w:spacing w:after="80" w:line="280"/>
      </w:pPr>
      <w:r>
        <w:rPr>
          <w:sz w:val="22"/>
          <w:szCs w:val="22"/>
        </w:rPr>
        <w:t xml:space="preserve">Physics-informed loss shaping: speed-smoothness and jerk penalties are added to the training loss so predictions respect vehicle kinematics rather than being learned purely from data.</w:t>
      </w:r>
    </w:p>
    <w:p>
      <w:pPr>
        <w:pStyle w:val="ListParagraph"/>
        <w:numPr>
          <w:ilvl w:val="0"/>
          <w:numId w:val="2"/>
        </w:numPr>
        <w:spacing w:after="80" w:line="280"/>
      </w:pPr>
      <w:r>
        <w:rPr>
          <w:sz w:val="22"/>
          <w:szCs w:val="22"/>
        </w:rPr>
        <w:t xml:space="preserve">In-filter non-holonomic constraints: lateral/vertical velocity constraints are applied inside the EKF correction step, giving genuine drift correction rather than a post-hoc “snap to nearest road.”</w:t>
      </w:r>
    </w:p>
    <w:p>
      <w:pPr>
        <w:pStyle w:val="ListParagraph"/>
        <w:numPr>
          <w:ilvl w:val="0"/>
          <w:numId w:val="2"/>
        </w:numPr>
        <w:spacing w:after="80" w:line="280"/>
      </w:pPr>
      <w:r>
        <w:rPr>
          <w:sz w:val="22"/>
          <w:szCs w:val="22"/>
        </w:rPr>
        <w:t xml:space="preserve">Deliberate, gated magnetometer policy: continuous magnetometer heading fusion is explicitly avoided due to chassis-proximity magnetic distortion in vehicles — used only for one-time coarse alignment at standstill.</w:t>
      </w:r>
    </w:p>
    <w:p>
      <w:pPr>
        <w:pStyle w:val="ListParagraph"/>
        <w:numPr>
          <w:ilvl w:val="0"/>
          <w:numId w:val="2"/>
        </w:numPr>
        <w:spacing w:after="80" w:line="280"/>
      </w:pPr>
      <w:r>
        <w:rPr>
          <w:sz w:val="22"/>
          <w:szCs w:val="22"/>
        </w:rPr>
        <w:t xml:space="preserve">Dual deployment target: the same core engine is designed to run identically against smartphone IMU data and external Bluetooth/USB/FOG IMU data, satisfying the edge-deployable engine requirement without a separate codebase.</w:t>
      </w:r>
    </w:p>
    <w:p>
      <w:pPr>
        <w:pStyle w:val="ListParagraph"/>
        <w:numPr>
          <w:ilvl w:val="0"/>
          <w:numId w:val="2"/>
        </w:numPr>
        <w:spacing w:after="80" w:line="280"/>
      </w:pPr>
      <w:r>
        <w:rPr>
          <w:sz w:val="22"/>
          <w:szCs w:val="22"/>
        </w:rPr>
        <w:t xml:space="preserve">Confidence-ellipse navigation UI: visualizes real-time positional uncertainty on the map — a transparency feature largely absent from consumer dead-reckoning implementations.</w:t>
      </w:r>
    </w:p>
    <w:p>
      <w:r>
        <w:br w:type="page"/>
      </w:r>
    </w:p>
    <w:p>
      <w:pPr>
        <w:pStyle w:val="Heading1"/>
        <w:spacing w:after="160" w:before="320"/>
      </w:pPr>
      <w:r>
        <w:rPr>
          <w:b/>
          <w:bCs/>
          <w:color w:val="1F3864"/>
          <w:sz w:val="30"/>
          <w:szCs w:val="30"/>
        </w:rPr>
        <w:t xml:space="preserve">8. Research and References</w:t>
      </w:r>
    </w:p>
    <w:p>
      <w:pPr>
        <w:pStyle w:val="ListParagraph"/>
        <w:numPr>
          <w:ilvl w:val="0"/>
          <w:numId w:val="2"/>
        </w:numPr>
        <w:spacing w:after="80" w:line="280"/>
      </w:pPr>
      <w:r>
        <w:rPr>
          <w:sz w:val="22"/>
          <w:szCs w:val="22"/>
        </w:rPr>
        <w:t xml:space="preserve">IO-VNBD: Inertial and Odometry Benchmark Dataset for Ground Vehicle Positioning — https://github.com/onyekpeu/IO-VNBD</w:t>
      </w:r>
    </w:p>
    <w:p>
      <w:pPr>
        <w:pStyle w:val="ListParagraph"/>
        <w:numPr>
          <w:ilvl w:val="0"/>
          <w:numId w:val="2"/>
        </w:numPr>
        <w:spacing w:after="80" w:line="280"/>
      </w:pPr>
      <w:r>
        <w:rPr>
          <w:sz w:val="22"/>
          <w:szCs w:val="22"/>
        </w:rPr>
        <w:t xml:space="preserve">Official ISRO Problem Statement SIH26168 — Smart India Hackathon 2026 PS repository</w:t>
      </w:r>
    </w:p>
    <w:p>
      <w:pPr>
        <w:pStyle w:val="ListParagraph"/>
        <w:numPr>
          <w:ilvl w:val="0"/>
          <w:numId w:val="2"/>
        </w:numPr>
        <w:spacing w:after="80" w:line="280"/>
      </w:pPr>
      <w:r>
        <w:rPr>
          <w:sz w:val="22"/>
          <w:szCs w:val="22"/>
        </w:rPr>
        <w:t xml:space="preserve">Non-holonomic constraint-aided GNSS/INS positioning for ground vehicles — ACM Digital Library</w:t>
      </w:r>
    </w:p>
    <w:p>
      <w:pPr>
        <w:pStyle w:val="ListParagraph"/>
        <w:numPr>
          <w:ilvl w:val="0"/>
          <w:numId w:val="2"/>
        </w:numPr>
        <w:spacing w:after="80" w:line="280"/>
      </w:pPr>
      <w:r>
        <w:rPr>
          <w:sz w:val="22"/>
          <w:szCs w:val="22"/>
        </w:rPr>
        <w:t xml:space="preserve">Zero-Velocity Update (ZUPT) techniques for inertial navigation systems — pedestrian and vehicular INS literature</w:t>
      </w:r>
    </w:p>
    <w:p>
      <w:pPr>
        <w:pStyle w:val="ListParagraph"/>
        <w:numPr>
          <w:ilvl w:val="0"/>
          <w:numId w:val="2"/>
        </w:numPr>
        <w:spacing w:after="80" w:line="280"/>
      </w:pPr>
      <w:r>
        <w:rPr>
          <w:sz w:val="22"/>
          <w:szCs w:val="22"/>
        </w:rPr>
        <w:t xml:space="preserve">TensorFlow Lite / LiteRT post-training INT8 quantization documentation — Google Developers</w:t>
      </w:r>
    </w:p>
    <w:p>
      <w:pPr>
        <w:pStyle w:val="ListParagraph"/>
        <w:numPr>
          <w:ilvl w:val="0"/>
          <w:numId w:val="2"/>
        </w:numPr>
        <w:spacing w:after="80" w:line="280"/>
      </w:pPr>
      <w:r>
        <w:rPr>
          <w:sz w:val="22"/>
          <w:szCs w:val="22"/>
        </w:rPr>
        <w:t xml:space="preserve">OSMnx: Python package for street network analysis using OpenStreetMap — osmnx.readthedocs.io</w:t>
      </w:r>
    </w:p>
    <w:p>
      <w:pPr>
        <w:pStyle w:val="ListParagraph"/>
        <w:numPr>
          <w:ilvl w:val="0"/>
          <w:numId w:val="2"/>
        </w:numPr>
        <w:spacing w:after="80" w:line="280"/>
      </w:pPr>
      <w:r>
        <w:rPr>
          <w:sz w:val="22"/>
          <w:szCs w:val="22"/>
        </w:rPr>
        <w:t xml:space="preserve">Android SensorManager, GnssStatus, and GnssMeasurementsEvent API documentation — developer.android.com</w:t>
      </w:r>
    </w:p>
    <w:p>
      <w:pPr>
        <w:pStyle w:val="ListParagraph"/>
        <w:numPr>
          <w:ilvl w:val="0"/>
          <w:numId w:val="2"/>
        </w:numPr>
        <w:spacing w:after="80" w:line="280"/>
      </w:pPr>
      <w:r>
        <w:rPr>
          <w:sz w:val="22"/>
          <w:szCs w:val="22"/>
        </w:rPr>
        <w:t xml:space="preserve">GTSAM: Factor graphs and IMU preintegration for sensor fusion (future-scope reference) — borglab.github.io/gtsam</w:t>
      </w:r>
    </w:p>
    <w:p>
      <w:pPr>
        <w:spacing w:before="400"/>
      </w:pPr>
      <w:r>
        <w:rPr>
          <w:b/>
          <w:bCs/>
          <w:i/>
          <w:iCs/>
          <w:color w:val="595959"/>
          <w:sz w:val="20"/>
          <w:szCs w:val="20"/>
        </w:rPr>
        <w:t xml:space="preserve">Note: </w:t>
      </w:r>
      <w:r>
        <w:rPr>
          <w:i/>
          <w:iCs/>
          <w:color w:val="595959"/>
          <w:sz w:val="20"/>
          <w:szCs w:val="20"/>
        </w:rPr>
        <w:t xml:space="preserve">Sections marked [TBD] will be populated with measured results once the baseline and ablation experiments described in Section 4.2 are executed.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2026-09-15T11:28:30.989Z</dcterms:created>
  <dcterms:modified xsi:type="dcterms:W3CDTF">2026-09-15T11:28:31.002Z</dcterms:modified>
</cp:coreProperties>
</file>

<file path=docProps/custom.xml><?xml version="1.0" encoding="utf-8"?>
<Properties xmlns="http://schemas.openxmlformats.org/officeDocument/2006/custom-properties" xmlns:vt="http://schemas.openxmlformats.org/officeDocument/2006/docPropsVTypes"/>
</file>