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E3A8A"/>
          <w:sz w:val="44"/>
        </w:rPr>
        <w:t>AI-BASED IDENTIFICATION AND SORTING OF RECYCLABLE MATERIALS</w:t>
        <w:br/>
      </w:r>
    </w:p>
    <w:p>
      <w:pPr>
        <w:jc w:val="center"/>
      </w:pPr>
      <w:r>
        <w:rPr>
          <w:rFonts w:ascii="Calibri" w:hAnsi="Calibri"/>
          <w:i/>
          <w:color w:val="475569"/>
          <w:sz w:val="26"/>
        </w:rPr>
        <w:t>A Computer Vision &amp; Deep Learning System for Materials Science &amp; Circular Engineering</w:t>
        <w:br/>
        <w:br/>
      </w:r>
    </w:p>
    <w:p>
      <w:pPr>
        <w:jc w:val="center"/>
      </w:pPr>
      <w:r>
        <w:rPr>
          <w:rFonts w:ascii="Calibri" w:hAnsi="Calibri"/>
          <w:b/>
          <w:sz w:val="24"/>
        </w:rPr>
        <w:t>DEPARTMENT OF MATERIALS SCIENCE AND ENGINEERING</w:t>
        <w:br/>
        <w:t>[COLLEGE / UNIVERSITY NAME - EDITABLE]</w:t>
        <w:br/>
        <w:t>ACADEMIC YEAR: 2026 – 2027</w:t>
        <w:br/>
        <w:br/>
      </w:r>
    </w:p>
    <w:tbl>
      <w:tblPr>
        <w:tblW w:type="auto" w:w="0"/>
        <w:jc w:val="center"/>
        <w:tblLook w:firstColumn="1" w:firstRow="1" w:lastColumn="0" w:lastRow="0" w:noHBand="0" w:noVBand="1" w:val="04A0"/>
      </w:tblPr>
      <w:tblGrid>
        <w:gridCol w:w="4320"/>
        <w:gridCol w:w="4320"/>
      </w:tblGrid>
      <w:tr>
        <w:tc>
          <w:tcPr>
            <w:tcW w:type="dxa" w:w="4320"/>
            <w:shd w:val="clear" w:color="auto" w:fill="F1F5F9"/>
          </w:tcPr>
          <w:p>
            <w:r>
              <w:rPr>
                <w:b/>
              </w:rPr>
              <w:t>Project Title</w:t>
            </w:r>
          </w:p>
        </w:tc>
        <w:tc>
          <w:tcPr>
            <w:tcW w:type="dxa" w:w="4320"/>
            <w:shd w:val="clear" w:color="auto" w:fill="FFFFFF"/>
          </w:tcPr>
          <w:p>
            <w:r>
              <w:t>AI-Based Identification and Sorting of Recyclable Materials</w:t>
            </w:r>
          </w:p>
        </w:tc>
      </w:tr>
      <w:tr>
        <w:tc>
          <w:tcPr>
            <w:tcW w:type="dxa" w:w="4320"/>
            <w:shd w:val="clear" w:color="auto" w:fill="F1F5F9"/>
          </w:tcPr>
          <w:p>
            <w:r>
              <w:rPr>
                <w:b/>
              </w:rPr>
              <w:t>Student Name</w:t>
            </w:r>
          </w:p>
        </w:tc>
        <w:tc>
          <w:tcPr>
            <w:tcW w:type="dxa" w:w="4320"/>
            <w:shd w:val="clear" w:color="auto" w:fill="FFFFFF"/>
          </w:tcPr>
          <w:p>
            <w:r>
              <w:t>[STUDENT NAME - EDITABLE]</w:t>
            </w:r>
          </w:p>
        </w:tc>
      </w:tr>
      <w:tr>
        <w:tc>
          <w:tcPr>
            <w:tcW w:type="dxa" w:w="4320"/>
            <w:shd w:val="clear" w:color="auto" w:fill="F1F5F9"/>
          </w:tcPr>
          <w:p>
            <w:r>
              <w:rPr>
                <w:b/>
              </w:rPr>
              <w:t>Roll / Reg. No.</w:t>
            </w:r>
          </w:p>
        </w:tc>
        <w:tc>
          <w:tcPr>
            <w:tcW w:type="dxa" w:w="4320"/>
            <w:shd w:val="clear" w:color="auto" w:fill="FFFFFF"/>
          </w:tcPr>
          <w:p>
            <w:r>
              <w:t>[ROLL NUMBER - EDITABLE]</w:t>
            </w:r>
          </w:p>
        </w:tc>
      </w:tr>
      <w:tr>
        <w:tc>
          <w:tcPr>
            <w:tcW w:type="dxa" w:w="4320"/>
            <w:shd w:val="clear" w:color="auto" w:fill="F1F5F9"/>
          </w:tcPr>
          <w:p>
            <w:r>
              <w:rPr>
                <w:b/>
              </w:rPr>
              <w:t>Faculty Supervisor</w:t>
            </w:r>
          </w:p>
        </w:tc>
        <w:tc>
          <w:tcPr>
            <w:tcW w:type="dxa" w:w="4320"/>
            <w:shd w:val="clear" w:color="auto" w:fill="FFFFFF"/>
          </w:tcPr>
          <w:p>
            <w:r>
              <w:t>[SUPERVISOR NAME - EDITABLE]</w:t>
            </w:r>
          </w:p>
        </w:tc>
      </w:tr>
      <w:tr>
        <w:tc>
          <w:tcPr>
            <w:tcW w:type="dxa" w:w="4320"/>
            <w:shd w:val="clear" w:color="auto" w:fill="F1F5F9"/>
          </w:tcPr>
          <w:p>
            <w:r>
              <w:rPr>
                <w:b/>
              </w:rPr>
              <w:t>Date of Submission</w:t>
            </w:r>
          </w:p>
        </w:tc>
        <w:tc>
          <w:tcPr>
            <w:tcW w:type="dxa" w:w="4320"/>
            <w:shd w:val="clear" w:color="auto" w:fill="FFFFFF"/>
          </w:tcPr>
          <w:p>
            <w:r>
              <w:t>October 2026</w:t>
            </w:r>
          </w:p>
        </w:tc>
      </w:tr>
    </w:tbl>
    <w:p>
      <w:r>
        <w:br w:type="page"/>
      </w:r>
    </w:p>
    <w:p>
      <w:pPr>
        <w:pStyle w:val="Heading1"/>
      </w:pPr>
      <w:r>
        <w:t>ABSTRACT</w:t>
      </w:r>
    </w:p>
    <w:p>
      <w:pPr>
        <w:spacing w:line="300" w:lineRule="auto"/>
      </w:pPr>
      <w:r>
        <w:t>Municipal solid waste management represents one of the most critical environmental and materials lifecycle bottlenecks of modern civilization. With global municipal waste projected to reach 3.4 billion metric tons annually by 2050, traditional manual sorting techniques in Materials Recovery Facilities (MRFs) exhibit low throughput, high operational expenses, and significant occupational health hazards.</w:t>
        <w:br/>
        <w:br/>
        <w:t>This project develops an end-to-end, automated, vision-based classification and simulated sorting system specifically grounded in Materials Science and Engineering principles. Using Transfer Learning with a lightweight MobileNetV2 convolutional neural network, material samples are identified from digital imagery and live optical camera feeds across six standard circular economy categories: Plastic, Metal, Paper, Cardboard, Glass, and Other / Non-recyclable waste. The system achieves 75.78% empirical test accuracy with zero data leakage on the Stanford TrashNet benchmark, mapping visual features to fundamental polymer, metallic, and ceramic microstructures.</w:t>
      </w:r>
    </w:p>
    <w:p>
      <w:pPr>
        <w:pStyle w:val="Heading1"/>
      </w:pPr>
      <w:r>
        <w:t>1. INTRODUCTION &amp; PROBLEM STATEMENT</w:t>
      </w:r>
    </w:p>
    <w:p>
      <w:r>
        <w:t>Materials Science and Engineering (MSE) investigates the relationships between the synthesis, structure, properties, and performance of engineering materials. In modern industrial paradigms, materials engineering extends beyond initial manufacturing to encompass the complete circular lifecycle—addressing end-of-life recovery, metallurgical remelting, polymer depolymerization, and sustainable material stewardship.</w:t>
        <w:br/>
        <w:br/>
        <w:t>Manual waste picking suffers from heavy cross-contamination (&gt;20%), severe occupational hazards (sharp metals, bioaerosols, toxic leachates), high labor costs, and a complete lack of digital compositional auditing.</w:t>
      </w:r>
    </w:p>
    <w:p>
      <w:pPr>
        <w:pStyle w:val="Heading1"/>
      </w:pPr>
      <w:r>
        <w:t>2. PROJECT OBJECTIVES</w:t>
      </w:r>
    </w:p>
    <w:p>
      <w:pPr>
        <w:pStyle w:val="ListBullet"/>
      </w:pPr>
      <w:r>
        <w:t>Train and validate a MobileNetV2 deep CNN classifier for 6 recyclable material classes.</w:t>
      </w:r>
    </w:p>
    <w:p>
      <w:pPr>
        <w:pStyle w:val="ListBullet"/>
      </w:pPr>
      <w:r>
        <w:t>Ensure rigorous zero data leakage using an empirical 70/15/15 train/val/test split.</w:t>
      </w:r>
    </w:p>
    <w:p>
      <w:pPr>
        <w:pStyle w:val="ListBullet"/>
      </w:pPr>
      <w:r>
        <w:t>Link vision classifications with thermodynamic, chemical, and physical material properties.</w:t>
      </w:r>
    </w:p>
    <w:p>
      <w:pPr>
        <w:pStyle w:val="ListBullet"/>
      </w:pPr>
      <w:r>
        <w:t>Implement uncertainty detection guardrails (threshold = 50%) for ambiguous samples.</w:t>
      </w:r>
    </w:p>
    <w:p>
      <w:pPr>
        <w:pStyle w:val="ListBullet"/>
      </w:pPr>
      <w:r>
        <w:t>Develop an interactive Streamlit web dashboard with live camera capture and CSV history export.</w:t>
      </w:r>
    </w:p>
    <w:p>
      <w:pPr>
        <w:pStyle w:val="ListBullet"/>
      </w:pPr>
      <w:r>
        <w:t>Create a simulated sorting twin demonstrating pneumatic and eddy-current chute routing.</w:t>
      </w:r>
    </w:p>
    <w:p>
      <w:pPr>
        <w:pStyle w:val="Heading1"/>
      </w:pPr>
      <w:r>
        <w:t>3. MATERIALS SCIENCE CONCEPTS &amp; ANALYSIS</w:t>
      </w:r>
    </w:p>
    <w:tbl>
      <w:tblPr>
        <w:tblW w:type="auto" w:w="0"/>
        <w:jc w:val="center"/>
        <w:tblLook w:firstColumn="1" w:firstRow="1" w:lastColumn="0" w:lastRow="0" w:noHBand="0" w:noVBand="1" w:val="04A0"/>
      </w:tblPr>
      <w:tblGrid>
        <w:gridCol w:w="2160"/>
        <w:gridCol w:w="2160"/>
        <w:gridCol w:w="2160"/>
        <w:gridCol w:w="2160"/>
      </w:tblGrid>
      <w:tr>
        <w:tc>
          <w:tcPr>
            <w:tcW w:type="dxa" w:w="2160"/>
            <w:shd w:val="clear" w:color="auto" w:fill="E2E8F0"/>
          </w:tcPr>
          <w:p>
            <w:r>
              <w:rPr>
                <w:b/>
              </w:rPr>
              <w:t>Material Class</w:t>
            </w:r>
          </w:p>
        </w:tc>
        <w:tc>
          <w:tcPr>
            <w:tcW w:type="dxa" w:w="2160"/>
            <w:shd w:val="clear" w:color="auto" w:fill="E2E8F0"/>
          </w:tcPr>
          <w:p>
            <w:r>
              <w:rPr>
                <w:b/>
              </w:rPr>
              <w:t>Microstructure &amp; Bonding</w:t>
            </w:r>
          </w:p>
        </w:tc>
        <w:tc>
          <w:tcPr>
            <w:tcW w:type="dxa" w:w="2160"/>
            <w:shd w:val="clear" w:color="auto" w:fill="E2E8F0"/>
          </w:tcPr>
          <w:p>
            <w:r>
              <w:rPr>
                <w:b/>
              </w:rPr>
              <w:t>Key Physical Properties</w:t>
            </w:r>
          </w:p>
        </w:tc>
        <w:tc>
          <w:tcPr>
            <w:tcW w:type="dxa" w:w="2160"/>
            <w:shd w:val="clear" w:color="auto" w:fill="E2E8F0"/>
          </w:tcPr>
          <w:p>
            <w:r>
              <w:rPr>
                <w:b/>
              </w:rPr>
              <w:t>Recycling Mechanism</w:t>
            </w:r>
          </w:p>
        </w:tc>
      </w:tr>
      <w:tr>
        <w:tc>
          <w:tcPr>
            <w:tcW w:type="dxa" w:w="2160"/>
            <w:shd w:val="clear" w:color="auto" w:fill="F8FAFC"/>
          </w:tcPr>
          <w:p>
            <w:r>
              <w:rPr>
                <w:b/>
              </w:rPr>
              <w:t>Plastic</w:t>
            </w:r>
          </w:p>
        </w:tc>
        <w:tc>
          <w:tcPr>
            <w:tcW w:type="dxa" w:w="2160"/>
            <w:shd w:val="clear" w:color="auto" w:fill="F8FAFC"/>
          </w:tcPr>
          <w:p>
            <w:r>
              <w:t>Long-chain macromolecular polymers with covalent backbone &amp; van der Waals forces.</w:t>
            </w:r>
          </w:p>
        </w:tc>
        <w:tc>
          <w:tcPr>
            <w:tcW w:type="dxa" w:w="2160"/>
            <w:shd w:val="clear" w:color="auto" w:fill="F8FAFC"/>
          </w:tcPr>
          <w:p>
            <w:r>
              <w:t>Density: 0.91-1.45 g/cm³; Melting: 110-260°C.</w:t>
            </w:r>
          </w:p>
        </w:tc>
        <w:tc>
          <w:tcPr>
            <w:tcW w:type="dxa" w:w="2160"/>
            <w:shd w:val="clear" w:color="auto" w:fill="F8FAFC"/>
          </w:tcPr>
          <w:p>
            <w:r>
              <w:t>Mechanical recycling (sink-float, shredding, extrusion); 4-6 cycle limit.</w:t>
            </w:r>
          </w:p>
        </w:tc>
      </w:tr>
      <w:tr>
        <w:tc>
          <w:tcPr>
            <w:tcW w:type="dxa" w:w="2160"/>
            <w:shd w:val="clear" w:color="auto" w:fill="FFFFFF"/>
          </w:tcPr>
          <w:p>
            <w:r>
              <w:rPr>
                <w:b/>
              </w:rPr>
              <w:t>Metal</w:t>
            </w:r>
          </w:p>
        </w:tc>
        <w:tc>
          <w:tcPr>
            <w:tcW w:type="dxa" w:w="2160"/>
            <w:shd w:val="clear" w:color="auto" w:fill="FFFFFF"/>
          </w:tcPr>
          <w:p>
            <w:r>
              <w:t>Crystalline lattice (FCC/BCC) with delocalized metallic bonding sea.</w:t>
            </w:r>
          </w:p>
        </w:tc>
        <w:tc>
          <w:tcPr>
            <w:tcW w:type="dxa" w:w="2160"/>
            <w:shd w:val="clear" w:color="auto" w:fill="FFFFFF"/>
          </w:tcPr>
          <w:p>
            <w:r>
              <w:t>Density: 2.7-7.8 g/cm³; High conductivity &amp; ductility.</w:t>
            </w:r>
          </w:p>
        </w:tc>
        <w:tc>
          <w:tcPr>
            <w:tcW w:type="dxa" w:w="2160"/>
            <w:shd w:val="clear" w:color="auto" w:fill="FFFFFF"/>
          </w:tcPr>
          <w:p>
            <w:r>
              <w:t>Infinitely recyclable; saves 95% energy vs. virgin bauxite smelting.</w:t>
            </w:r>
          </w:p>
        </w:tc>
      </w:tr>
      <w:tr>
        <w:tc>
          <w:tcPr>
            <w:tcW w:type="dxa" w:w="2160"/>
            <w:shd w:val="clear" w:color="auto" w:fill="F8FAFC"/>
          </w:tcPr>
          <w:p>
            <w:r>
              <w:rPr>
                <w:b/>
              </w:rPr>
              <w:t>Paper</w:t>
            </w:r>
          </w:p>
        </w:tc>
        <w:tc>
          <w:tcPr>
            <w:tcW w:type="dxa" w:w="2160"/>
            <w:shd w:val="clear" w:color="auto" w:fill="F8FAFC"/>
          </w:tcPr>
          <w:p>
            <w:r>
              <w:t>Cellulose microfibrils with inter-chain hydrogen bonds.</w:t>
            </w:r>
          </w:p>
        </w:tc>
        <w:tc>
          <w:tcPr>
            <w:tcW w:type="dxa" w:w="2160"/>
            <w:shd w:val="clear" w:color="auto" w:fill="F8FAFC"/>
          </w:tcPr>
          <w:p>
            <w:r>
              <w:t>Hydrophilic; density: 0.6-0.9 g/cm³.</w:t>
            </w:r>
          </w:p>
        </w:tc>
        <w:tc>
          <w:tcPr>
            <w:tcW w:type="dxa" w:w="2160"/>
            <w:shd w:val="clear" w:color="auto" w:fill="F8FAFC"/>
          </w:tcPr>
          <w:p>
            <w:r>
              <w:t>Hydrapulping, flotation de-inking; 5-7 cycle fiber shortening limit.</w:t>
            </w:r>
          </w:p>
        </w:tc>
      </w:tr>
      <w:tr>
        <w:tc>
          <w:tcPr>
            <w:tcW w:type="dxa" w:w="2160"/>
            <w:shd w:val="clear" w:color="auto" w:fill="FFFFFF"/>
          </w:tcPr>
          <w:p>
            <w:r>
              <w:rPr>
                <w:b/>
              </w:rPr>
              <w:t>Cardboard</w:t>
            </w:r>
          </w:p>
        </w:tc>
        <w:tc>
          <w:tcPr>
            <w:tcW w:type="dxa" w:w="2160"/>
            <w:shd w:val="clear" w:color="auto" w:fill="FFFFFF"/>
          </w:tcPr>
          <w:p>
            <w:r>
              <w:t>Fluted corrugated sandwich composite medium.</w:t>
            </w:r>
          </w:p>
        </w:tc>
        <w:tc>
          <w:tcPr>
            <w:tcW w:type="dxa" w:w="2160"/>
            <w:shd w:val="clear" w:color="auto" w:fill="FFFFFF"/>
          </w:tcPr>
          <w:p>
            <w:r>
              <w:t>Burst strength: 100-300 kPa; high kinetic damping.</w:t>
            </w:r>
          </w:p>
        </w:tc>
        <w:tc>
          <w:tcPr>
            <w:tcW w:type="dxa" w:w="2160"/>
            <w:shd w:val="clear" w:color="auto" w:fill="FFFFFF"/>
          </w:tcPr>
          <w:p>
            <w:r>
              <w:t>Repulping, centrifugal glue removal, re-fluting.</w:t>
            </w:r>
          </w:p>
        </w:tc>
      </w:tr>
      <w:tr>
        <w:tc>
          <w:tcPr>
            <w:tcW w:type="dxa" w:w="2160"/>
            <w:shd w:val="clear" w:color="auto" w:fill="F8FAFC"/>
          </w:tcPr>
          <w:p>
            <w:r>
              <w:rPr>
                <w:b/>
              </w:rPr>
              <w:t>Glass</w:t>
            </w:r>
          </w:p>
        </w:tc>
        <w:tc>
          <w:tcPr>
            <w:tcW w:type="dxa" w:w="2160"/>
            <w:shd w:val="clear" w:color="auto" w:fill="F8FAFC"/>
          </w:tcPr>
          <w:p>
            <w:r>
              <w:t>Non-crystalline amorphous silicate network (SiO2) with modifiers.</w:t>
            </w:r>
          </w:p>
        </w:tc>
        <w:tc>
          <w:tcPr>
            <w:tcW w:type="dxa" w:w="2160"/>
            <w:shd w:val="clear" w:color="auto" w:fill="F8FAFC"/>
          </w:tcPr>
          <w:p>
            <w:r>
              <w:t>Mohs: 5.5-6.5; chemically inert; softening: ~750°C.</w:t>
            </w:r>
          </w:p>
        </w:tc>
        <w:tc>
          <w:tcPr>
            <w:tcW w:type="dxa" w:w="2160"/>
            <w:shd w:val="clear" w:color="auto" w:fill="F8FAFC"/>
          </w:tcPr>
          <w:p>
            <w:r>
              <w:t>100% infinitely recyclable; cullet lowers furnace melting fuel usage.</w:t>
            </w:r>
          </w:p>
        </w:tc>
      </w:tr>
      <w:tr>
        <w:tc>
          <w:tcPr>
            <w:tcW w:type="dxa" w:w="2160"/>
            <w:shd w:val="clear" w:color="auto" w:fill="FFFFFF"/>
          </w:tcPr>
          <w:p>
            <w:r>
              <w:rPr>
                <w:b/>
              </w:rPr>
              <w:t>Other / Trash</w:t>
            </w:r>
          </w:p>
        </w:tc>
        <w:tc>
          <w:tcPr>
            <w:tcW w:type="dxa" w:w="2160"/>
            <w:shd w:val="clear" w:color="auto" w:fill="FFFFFF"/>
          </w:tcPr>
          <w:p>
            <w:r>
              <w:t>Heterogeneous multi-material packaging (metallized films).</w:t>
            </w:r>
          </w:p>
        </w:tc>
        <w:tc>
          <w:tcPr>
            <w:tcW w:type="dxa" w:w="2160"/>
            <w:shd w:val="clear" w:color="auto" w:fill="FFFFFF"/>
          </w:tcPr>
          <w:p>
            <w:r>
              <w:t>Thermodynamically incompatible blended phases.</w:t>
            </w:r>
          </w:p>
        </w:tc>
        <w:tc>
          <w:tcPr>
            <w:tcW w:type="dxa" w:w="2160"/>
            <w:shd w:val="clear" w:color="auto" w:fill="FFFFFF"/>
          </w:tcPr>
          <w:p>
            <w:r>
              <w:t>Refuse-Derived Fuel (RDF) gasification or sanitary landfilling.</w:t>
            </w:r>
          </w:p>
        </w:tc>
      </w:tr>
    </w:tbl>
    <w:p>
      <w:pPr>
        <w:pStyle w:val="Heading1"/>
      </w:pPr>
      <w:r>
        <w:t>4. EXPERIMENTAL EVALUATION RESULTS</w:t>
      </w:r>
    </w:p>
    <w:p>
      <w:r>
        <w:t>The model was evaluated strictly on the held-out test split of 384 images from the Stanford TrashNet benchmark.</w:t>
        <w:br/>
        <w:t>• Overall Test Accuracy: 75.78%</w:t>
        <w:br/>
        <w:t>• Weighted F1-Score: 0.7347</w:t>
        <w:br/>
        <w:t>• Macro F1-Score: 0.6485</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BEAFE"/>
          </w:tcPr>
          <w:p>
            <w:r>
              <w:rPr>
                <w:b/>
              </w:rPr>
              <w:t>Material Class</w:t>
            </w:r>
          </w:p>
        </w:tc>
        <w:tc>
          <w:tcPr>
            <w:tcW w:type="dxa" w:w="1728"/>
            <w:shd w:val="clear" w:color="auto" w:fill="DBEAFE"/>
          </w:tcPr>
          <w:p>
            <w:r>
              <w:rPr>
                <w:b/>
              </w:rPr>
              <w:t>Precision</w:t>
            </w:r>
          </w:p>
        </w:tc>
        <w:tc>
          <w:tcPr>
            <w:tcW w:type="dxa" w:w="1728"/>
            <w:shd w:val="clear" w:color="auto" w:fill="DBEAFE"/>
          </w:tcPr>
          <w:p>
            <w:r>
              <w:rPr>
                <w:b/>
              </w:rPr>
              <w:t>Recall</w:t>
            </w:r>
          </w:p>
        </w:tc>
        <w:tc>
          <w:tcPr>
            <w:tcW w:type="dxa" w:w="1728"/>
            <w:shd w:val="clear" w:color="auto" w:fill="DBEAFE"/>
          </w:tcPr>
          <w:p>
            <w:r>
              <w:rPr>
                <w:b/>
              </w:rPr>
              <w:t>F1-Score</w:t>
            </w:r>
          </w:p>
        </w:tc>
        <w:tc>
          <w:tcPr>
            <w:tcW w:type="dxa" w:w="1728"/>
            <w:shd w:val="clear" w:color="auto" w:fill="DBEAFE"/>
          </w:tcPr>
          <w:p>
            <w:r>
              <w:rPr>
                <w:b/>
              </w:rPr>
              <w:t>Test Samples</w:t>
            </w:r>
          </w:p>
        </w:tc>
      </w:tr>
      <w:tr>
        <w:tc>
          <w:tcPr>
            <w:tcW w:type="dxa" w:w="1728"/>
            <w:shd w:val="clear" w:color="auto" w:fill="F8FAFC"/>
          </w:tcPr>
          <w:p>
            <w:r>
              <w:rPr>
                <w:b/>
              </w:rPr>
              <w:t>Cardboard</w:t>
            </w:r>
          </w:p>
        </w:tc>
        <w:tc>
          <w:tcPr>
            <w:tcW w:type="dxa" w:w="1728"/>
            <w:shd w:val="clear" w:color="auto" w:fill="F8FAFC"/>
          </w:tcPr>
          <w:p>
            <w:r>
              <w:t>0.86</w:t>
            </w:r>
          </w:p>
        </w:tc>
        <w:tc>
          <w:tcPr>
            <w:tcW w:type="dxa" w:w="1728"/>
            <w:shd w:val="clear" w:color="auto" w:fill="F8FAFC"/>
          </w:tcPr>
          <w:p>
            <w:r>
              <w:t>0.84</w:t>
            </w:r>
          </w:p>
        </w:tc>
        <w:tc>
          <w:tcPr>
            <w:tcW w:type="dxa" w:w="1728"/>
            <w:shd w:val="clear" w:color="auto" w:fill="F8FAFC"/>
          </w:tcPr>
          <w:p>
            <w:r>
              <w:t>0.85</w:t>
            </w:r>
          </w:p>
        </w:tc>
        <w:tc>
          <w:tcPr>
            <w:tcW w:type="dxa" w:w="1728"/>
            <w:shd w:val="clear" w:color="auto" w:fill="F8FAFC"/>
          </w:tcPr>
          <w:p>
            <w:r>
              <w:t>61</w:t>
            </w:r>
          </w:p>
        </w:tc>
      </w:tr>
      <w:tr>
        <w:tc>
          <w:tcPr>
            <w:tcW w:type="dxa" w:w="1728"/>
            <w:shd w:val="clear" w:color="auto" w:fill="FFFFFF"/>
          </w:tcPr>
          <w:p>
            <w:r>
              <w:rPr>
                <w:b/>
              </w:rPr>
              <w:t>Paper</w:t>
            </w:r>
          </w:p>
        </w:tc>
        <w:tc>
          <w:tcPr>
            <w:tcW w:type="dxa" w:w="1728"/>
            <w:shd w:val="clear" w:color="auto" w:fill="FFFFFF"/>
          </w:tcPr>
          <w:p>
            <w:r>
              <w:t>0.78</w:t>
            </w:r>
          </w:p>
        </w:tc>
        <w:tc>
          <w:tcPr>
            <w:tcW w:type="dxa" w:w="1728"/>
            <w:shd w:val="clear" w:color="auto" w:fill="FFFFFF"/>
          </w:tcPr>
          <w:p>
            <w:r>
              <w:t>0.92</w:t>
            </w:r>
          </w:p>
        </w:tc>
        <w:tc>
          <w:tcPr>
            <w:tcW w:type="dxa" w:w="1728"/>
            <w:shd w:val="clear" w:color="auto" w:fill="FFFFFF"/>
          </w:tcPr>
          <w:p>
            <w:r>
              <w:t>0.85</w:t>
            </w:r>
          </w:p>
        </w:tc>
        <w:tc>
          <w:tcPr>
            <w:tcW w:type="dxa" w:w="1728"/>
            <w:shd w:val="clear" w:color="auto" w:fill="FFFFFF"/>
          </w:tcPr>
          <w:p>
            <w:r>
              <w:t>90</w:t>
            </w:r>
          </w:p>
        </w:tc>
      </w:tr>
      <w:tr>
        <w:tc>
          <w:tcPr>
            <w:tcW w:type="dxa" w:w="1728"/>
            <w:shd w:val="clear" w:color="auto" w:fill="F8FAFC"/>
          </w:tcPr>
          <w:p>
            <w:r>
              <w:rPr>
                <w:b/>
              </w:rPr>
              <w:t>Metal</w:t>
            </w:r>
          </w:p>
        </w:tc>
        <w:tc>
          <w:tcPr>
            <w:tcW w:type="dxa" w:w="1728"/>
            <w:shd w:val="clear" w:color="auto" w:fill="F8FAFC"/>
          </w:tcPr>
          <w:p>
            <w:r>
              <w:t>0.69</w:t>
            </w:r>
          </w:p>
        </w:tc>
        <w:tc>
          <w:tcPr>
            <w:tcW w:type="dxa" w:w="1728"/>
            <w:shd w:val="clear" w:color="auto" w:fill="F8FAFC"/>
          </w:tcPr>
          <w:p>
            <w:r>
              <w:t>0.81</w:t>
            </w:r>
          </w:p>
        </w:tc>
        <w:tc>
          <w:tcPr>
            <w:tcW w:type="dxa" w:w="1728"/>
            <w:shd w:val="clear" w:color="auto" w:fill="F8FAFC"/>
          </w:tcPr>
          <w:p>
            <w:r>
              <w:t>0.75</w:t>
            </w:r>
          </w:p>
        </w:tc>
        <w:tc>
          <w:tcPr>
            <w:tcW w:type="dxa" w:w="1728"/>
            <w:shd w:val="clear" w:color="auto" w:fill="F8FAFC"/>
          </w:tcPr>
          <w:p>
            <w:r>
              <w:t>62</w:t>
            </w:r>
          </w:p>
        </w:tc>
      </w:tr>
      <w:tr>
        <w:tc>
          <w:tcPr>
            <w:tcW w:type="dxa" w:w="1728"/>
            <w:shd w:val="clear" w:color="auto" w:fill="FFFFFF"/>
          </w:tcPr>
          <w:p>
            <w:r>
              <w:rPr>
                <w:b/>
              </w:rPr>
              <w:t>Plastic</w:t>
            </w:r>
          </w:p>
        </w:tc>
        <w:tc>
          <w:tcPr>
            <w:tcW w:type="dxa" w:w="1728"/>
            <w:shd w:val="clear" w:color="auto" w:fill="FFFFFF"/>
          </w:tcPr>
          <w:p>
            <w:r>
              <w:t>0.77</w:t>
            </w:r>
          </w:p>
        </w:tc>
        <w:tc>
          <w:tcPr>
            <w:tcW w:type="dxa" w:w="1728"/>
            <w:shd w:val="clear" w:color="auto" w:fill="FFFFFF"/>
          </w:tcPr>
          <w:p>
            <w:r>
              <w:t>0.73</w:t>
            </w:r>
          </w:p>
        </w:tc>
        <w:tc>
          <w:tcPr>
            <w:tcW w:type="dxa" w:w="1728"/>
            <w:shd w:val="clear" w:color="auto" w:fill="FFFFFF"/>
          </w:tcPr>
          <w:p>
            <w:r>
              <w:t>0.75</w:t>
            </w:r>
          </w:p>
        </w:tc>
        <w:tc>
          <w:tcPr>
            <w:tcW w:type="dxa" w:w="1728"/>
            <w:shd w:val="clear" w:color="auto" w:fill="FFFFFF"/>
          </w:tcPr>
          <w:p>
            <w:r>
              <w:t>73</w:t>
            </w:r>
          </w:p>
        </w:tc>
      </w:tr>
      <w:tr>
        <w:tc>
          <w:tcPr>
            <w:tcW w:type="dxa" w:w="1728"/>
            <w:shd w:val="clear" w:color="auto" w:fill="F8FAFC"/>
          </w:tcPr>
          <w:p>
            <w:r>
              <w:rPr>
                <w:b/>
              </w:rPr>
              <w:t>Glass</w:t>
            </w:r>
          </w:p>
        </w:tc>
        <w:tc>
          <w:tcPr>
            <w:tcW w:type="dxa" w:w="1728"/>
            <w:shd w:val="clear" w:color="auto" w:fill="F8FAFC"/>
          </w:tcPr>
          <w:p>
            <w:r>
              <w:t>0.69</w:t>
            </w:r>
          </w:p>
        </w:tc>
        <w:tc>
          <w:tcPr>
            <w:tcW w:type="dxa" w:w="1728"/>
            <w:shd w:val="clear" w:color="auto" w:fill="F8FAFC"/>
          </w:tcPr>
          <w:p>
            <w:r>
              <w:t>0.71</w:t>
            </w:r>
          </w:p>
        </w:tc>
        <w:tc>
          <w:tcPr>
            <w:tcW w:type="dxa" w:w="1728"/>
            <w:shd w:val="clear" w:color="auto" w:fill="F8FAFC"/>
          </w:tcPr>
          <w:p>
            <w:r>
              <w:t>0.70</w:t>
            </w:r>
          </w:p>
        </w:tc>
        <w:tc>
          <w:tcPr>
            <w:tcW w:type="dxa" w:w="1728"/>
            <w:shd w:val="clear" w:color="auto" w:fill="F8FAFC"/>
          </w:tcPr>
          <w:p>
            <w:r>
              <w:t>76</w:t>
            </w:r>
          </w:p>
        </w:tc>
      </w:tr>
      <w:tr>
        <w:tc>
          <w:tcPr>
            <w:tcW w:type="dxa" w:w="1728"/>
            <w:shd w:val="clear" w:color="auto" w:fill="FFFFFF"/>
          </w:tcPr>
          <w:p>
            <w:r>
              <w:rPr>
                <w:b/>
              </w:rPr>
              <w:t>Trash</w:t>
            </w:r>
          </w:p>
        </w:tc>
        <w:tc>
          <w:tcPr>
            <w:tcW w:type="dxa" w:w="1728"/>
            <w:shd w:val="clear" w:color="auto" w:fill="FFFFFF"/>
          </w:tcPr>
          <w:p>
            <w:r>
              <w:t>0.00</w:t>
            </w:r>
          </w:p>
        </w:tc>
        <w:tc>
          <w:tcPr>
            <w:tcW w:type="dxa" w:w="1728"/>
            <w:shd w:val="clear" w:color="auto" w:fill="FFFFFF"/>
          </w:tcPr>
          <w:p>
            <w:r>
              <w:t>0.00</w:t>
            </w:r>
          </w:p>
        </w:tc>
        <w:tc>
          <w:tcPr>
            <w:tcW w:type="dxa" w:w="1728"/>
            <w:shd w:val="clear" w:color="auto" w:fill="FFFFFF"/>
          </w:tcPr>
          <w:p>
            <w:r>
              <w:t>0.00</w:t>
            </w:r>
          </w:p>
        </w:tc>
        <w:tc>
          <w:tcPr>
            <w:tcW w:type="dxa" w:w="1728"/>
            <w:shd w:val="clear" w:color="auto" w:fill="FFFFFF"/>
          </w:tcPr>
          <w:p>
            <w:r>
              <w:t>22</w:t>
            </w:r>
          </w:p>
        </w:tc>
      </w:tr>
    </w:tbl>
    <w:p>
      <w:pPr>
        <w:pStyle w:val="Heading1"/>
      </w:pPr>
      <w:r>
        <w:t>5. CONCLUSION</w:t>
      </w:r>
    </w:p>
    <w:p>
      <w:r>
        <w:t>This project successfully demonstrates an automated, materials-aware recyclable sorting system combining computer vision with sustainable circular engineering. The resulting web application and simulated sorting twin provide a robust platform for modern materials engineering laboratory education and industrial circular economy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