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EnterpriseIQ AI Governance and Data Policy 2026</w:t>
      </w:r>
    </w:p>
    <w:p>
      <w:r>
        <w:t>Classification: Confidential | Governing Body: AI Ethics &amp; Security Council | Version: 2.4</w:t>
      </w:r>
    </w:p>
    <w:p>
      <w:pPr>
        <w:pStyle w:val="Heading1"/>
      </w:pPr>
      <w:r>
        <w:t>1. Purpose and Scope</w:t>
      </w:r>
    </w:p>
    <w:p>
      <w:r>
        <w:t>This policy establishes mandatory operational protocols for the implementation, validation, and usage of Artificial Intelligence (AI) and Machine Learning (ML) models across all enterprise systems. Compliance is mandatory for all contractors, full-time staff, and executives.</w:t>
      </w:r>
    </w:p>
    <w:p>
      <w:pPr>
        <w:pStyle w:val="Heading1"/>
      </w:pPr>
      <w:r>
        <w:t>2. Data Confidentiality &amp; Model Training Restrictions</w:t>
      </w:r>
    </w:p>
    <w:p>
      <w:r>
        <w:t>Proprietary enterprise documents, customer records, and trade secrets shall never be fed into non-enterprise third-party consumer AI models. All automated assistant integrations must operate behind corporate perimeter firewalls using approved enterprise API endpoints with zero-data-retention guarantees. Unauthorized transmission of Restricted or Confidential documents to unauthorized endpoints constitutes a Tier-1 security violation.</w:t>
      </w:r>
    </w:p>
    <w:p>
      <w:pPr>
        <w:pStyle w:val="Heading1"/>
      </w:pPr>
      <w:r>
        <w:t>3. Hallucination Prevention &amp; Verification Standard</w:t>
      </w:r>
    </w:p>
    <w:p>
      <w:r>
        <w:t>Every automated AI assistant response that influences financial, legal, or architectural decisions must be grounded in primary source documents. The system must clearly output verifiable source citations with file name, page/row reference, and passage snippets. If verifiable source documents are unavailable, the AI model must strictly decline to invent answers.</w:t>
      </w:r>
    </w:p>
    <w:p>
      <w:pPr>
        <w:pStyle w:val="Heading1"/>
      </w:pPr>
      <w:r>
        <w:t>4. Role-Based Access Control (RBAC) Protocols</w:t>
      </w:r>
    </w:p>
    <w:p>
      <w:r>
        <w:t>Enterprise documents are classified under four security tiers:</w:t>
        <w:br/>
        <w:t>- Public: Accessible by all employees, contractors, and partners.</w:t>
        <w:br/>
        <w:t>- Internal: Accessible by all authenticated active employees.</w:t>
        <w:br/>
        <w:t>- Confidential: Restricted to Department Managers and Corporate Administrators.</w:t>
        <w:br/>
        <w:t>- Restricted: Highest sensitivity (Board, M&amp;A, executive compensation); viewable only by designated C-level executives and the document owner.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