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243A"/>
          <w:sz w:val="58"/>
        </w:rPr>
        <w:t>IT HELPDESK</w:t>
        <w:br/>
        <w:t>ANALYTICS DASHBOARD</w:t>
      </w:r>
    </w:p>
    <w:p>
      <w:pPr>
        <w:jc w:val="center"/>
      </w:pPr>
      <w:r>
        <w:rPr>
          <w:color w:val="2563EB"/>
          <w:sz w:val="34"/>
        </w:rPr>
        <w:t>Power BI Project Documentation</w:t>
      </w:r>
    </w:p>
    <w:p>
      <w:pPr>
        <w:spacing w:before="360"/>
        <w:jc w:val="center"/>
      </w:pPr>
      <w:r>
        <w:rPr>
          <w:color w:val="475569"/>
          <w:sz w:val="22"/>
        </w:rPr>
        <w:t>Dataset: IT_Helpdesk_Tickets_Cleaned.csv</w:t>
      </w:r>
    </w:p>
    <w:p>
      <w:pPr>
        <w:spacing w:before="2100"/>
        <w:jc w:val="center"/>
      </w:pPr>
      <w:r>
        <w:rPr>
          <w:i/>
          <w:color w:val="64748B"/>
          <w:sz w:val="20"/>
        </w:rPr>
        <w:t>A practical guide to the dashboard’s purpose, data, measures, visuals, and maintenance</w:t>
      </w:r>
    </w:p>
    <w:p>
      <w:r>
        <w:br w:type="page"/>
      </w:r>
    </w:p>
    <w:p>
      <w:pPr>
        <w:pStyle w:val="Heading1"/>
      </w:pPr>
      <w:r>
        <w:t>1. Executive Summary</w:t>
      </w:r>
    </w:p>
    <w:p>
      <w:r>
        <w:t>The IT Helpdesk Analytics Dashboard monitors support-ticket volume, status, priority, department, technician workload, resolution time, and service-level agreement (SLA) outcomes. It helps support leads identify backlogs, compare workload, monitor resolution performance, and spot SLA risks.</w:t>
      </w:r>
    </w:p>
    <w:p>
      <w:r>
        <w:t>The source extract contains 600 ticket records and 15 fields. The report is designed around four pages: Executive Overview, Ticket Analysis, Technician Performance, and SLA &amp; Resolution.</w:t>
      </w:r>
    </w:p>
    <w:p>
      <w:pPr>
        <w:pStyle w:val="Heading1"/>
      </w:pPr>
      <w:r>
        <w:t>2. Project Objectives</w:t>
      </w:r>
    </w:p>
    <w:p>
      <w:pPr>
        <w:pStyle w:val="ListBullet"/>
      </w:pPr>
      <w:r>
        <w:t>Summarize total tickets, resolved tickets, unresolved tickets, and resolution rate.</w:t>
      </w:r>
    </w:p>
    <w:p>
      <w:pPr>
        <w:pStyle w:val="ListBullet"/>
      </w:pPr>
      <w:r>
        <w:t>Analyze ticket patterns by date, category, priority, channel, and department.</w:t>
      </w:r>
    </w:p>
    <w:p>
      <w:pPr>
        <w:pStyle w:val="ListBullet"/>
      </w:pPr>
      <w:r>
        <w:t>Compare technician workload and resolution performance.</w:t>
      </w:r>
    </w:p>
    <w:p>
      <w:pPr>
        <w:pStyle w:val="ListBullet"/>
      </w:pPr>
      <w:r>
        <w:t>Track SLA outcomes and identify tickets that may require attention.</w:t>
      </w:r>
    </w:p>
    <w:p>
      <w:pPr>
        <w:pStyle w:val="ListBullet"/>
      </w:pPr>
      <w:r>
        <w:t>Enable interactive filtering by date, team, category, status, and priority.</w:t>
      </w:r>
    </w:p>
    <w:p>
      <w:pPr>
        <w:pStyle w:val="Heading1"/>
      </w:pPr>
      <w:r>
        <w:t>3. Dataset Description</w:t>
      </w:r>
    </w:p>
    <w:p>
      <w:r>
        <w:t>Source file: IT_Helpdesk_Tickets_Cleaned.csv. The documented extract has 600 rows and 15 columns.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43A"/>
          </w:tcPr>
          <w:p>
            <w:pPr>
              <w:spacing w:after="0"/>
            </w:pPr>
            <w:r/>
            <w:r>
              <w:rPr>
                <w:rFonts w:ascii="Aptos" w:hAnsi="Aptos"/>
                <w:b/>
                <w:color w:val="FFFFFF"/>
                <w:sz w:val="18"/>
              </w:rPr>
              <w:t>Field</w:t>
            </w:r>
          </w:p>
        </w:tc>
        <w:tc>
          <w:tcPr>
            <w:tcW w:type="dxa" w:w="4968"/>
            <w:vAlign w:val="center"/>
            <w:shd w:fill="14243A"/>
          </w:tcPr>
          <w:p>
            <w:pPr>
              <w:spacing w:after="0"/>
            </w:pPr>
            <w:r/>
            <w:r>
              <w:rPr>
                <w:rFonts w:ascii="Aptos" w:hAnsi="Aptos"/>
                <w:b/>
                <w:color w:val="FFFFFF"/>
                <w:sz w:val="18"/>
              </w:rPr>
              <w:t>Description / suggested use</w:t>
            </w:r>
          </w:p>
        </w:tc>
      </w:tr>
      <w:tr>
        <w:tc>
          <w:tcPr>
            <w:tcW w:type="dxa" w:w="4968"/>
            <w:vAlign w:val="center"/>
          </w:tcPr>
          <w:p>
            <w:pPr>
              <w:spacing w:after="0"/>
            </w:pPr>
            <w:r/>
            <w:r>
              <w:rPr>
                <w:rFonts w:ascii="Aptos" w:hAnsi="Aptos"/>
                <w:b w:val="0"/>
                <w:sz w:val="18"/>
              </w:rPr>
              <w:t>Ticket ID</w:t>
            </w:r>
          </w:p>
        </w:tc>
        <w:tc>
          <w:tcPr>
            <w:tcW w:type="dxa" w:w="4968"/>
            <w:vAlign w:val="center"/>
          </w:tcPr>
          <w:p>
            <w:pPr>
              <w:spacing w:after="0"/>
            </w:pPr>
            <w:r/>
            <w:r>
              <w:rPr>
                <w:rFonts w:ascii="Aptos" w:hAnsi="Aptos"/>
                <w:b w:val="0"/>
                <w:sz w:val="18"/>
              </w:rPr>
              <w:t>Unique ticket identifier; use for distinct ticket counts and ticket lookup.</w:t>
            </w:r>
          </w:p>
        </w:tc>
      </w:tr>
      <w:tr>
        <w:tc>
          <w:tcPr>
            <w:tcW w:type="dxa" w:w="4968"/>
            <w:vAlign w:val="center"/>
            <w:shd w:fill="F1F5F9"/>
          </w:tcPr>
          <w:p>
            <w:pPr>
              <w:spacing w:after="0"/>
            </w:pPr>
            <w:r/>
            <w:r>
              <w:rPr>
                <w:rFonts w:ascii="Aptos" w:hAnsi="Aptos"/>
                <w:b w:val="0"/>
                <w:sz w:val="18"/>
              </w:rPr>
              <w:t>Created Date</w:t>
            </w:r>
          </w:p>
        </w:tc>
        <w:tc>
          <w:tcPr>
            <w:tcW w:type="dxa" w:w="4968"/>
            <w:vAlign w:val="center"/>
            <w:shd w:fill="F1F5F9"/>
          </w:tcPr>
          <w:p>
            <w:pPr>
              <w:spacing w:after="0"/>
            </w:pPr>
            <w:r/>
            <w:r>
              <w:rPr>
                <w:rFonts w:ascii="Aptos" w:hAnsi="Aptos"/>
                <w:b w:val="0"/>
                <w:sz w:val="18"/>
              </w:rPr>
              <w:t>Ticket creation date; use for time trends and date filtering.</w:t>
            </w:r>
          </w:p>
        </w:tc>
      </w:tr>
      <w:tr>
        <w:tc>
          <w:tcPr>
            <w:tcW w:type="dxa" w:w="4968"/>
            <w:vAlign w:val="center"/>
          </w:tcPr>
          <w:p>
            <w:pPr>
              <w:spacing w:after="0"/>
            </w:pPr>
            <w:r/>
            <w:r>
              <w:rPr>
                <w:rFonts w:ascii="Aptos" w:hAnsi="Aptos"/>
                <w:b w:val="0"/>
                <w:sz w:val="18"/>
              </w:rPr>
              <w:t>Category</w:t>
            </w:r>
          </w:p>
        </w:tc>
        <w:tc>
          <w:tcPr>
            <w:tcW w:type="dxa" w:w="4968"/>
            <w:vAlign w:val="center"/>
          </w:tcPr>
          <w:p>
            <w:pPr>
              <w:spacing w:after="0"/>
            </w:pPr>
            <w:r/>
            <w:r>
              <w:rPr>
                <w:rFonts w:ascii="Aptos" w:hAnsi="Aptos"/>
                <w:b w:val="0"/>
                <w:sz w:val="18"/>
              </w:rPr>
              <w:t>Issue type: Network, Hardware, Email, Software, Printer, or Access &amp; Security.</w:t>
            </w:r>
          </w:p>
        </w:tc>
      </w:tr>
      <w:tr>
        <w:tc>
          <w:tcPr>
            <w:tcW w:type="dxa" w:w="4968"/>
            <w:vAlign w:val="center"/>
            <w:shd w:fill="F1F5F9"/>
          </w:tcPr>
          <w:p>
            <w:pPr>
              <w:spacing w:after="0"/>
            </w:pPr>
            <w:r/>
            <w:r>
              <w:rPr>
                <w:rFonts w:ascii="Aptos" w:hAnsi="Aptos"/>
                <w:b w:val="0"/>
                <w:sz w:val="18"/>
              </w:rPr>
              <w:t>Priority</w:t>
            </w:r>
          </w:p>
        </w:tc>
        <w:tc>
          <w:tcPr>
            <w:tcW w:type="dxa" w:w="4968"/>
            <w:vAlign w:val="center"/>
            <w:shd w:fill="F1F5F9"/>
          </w:tcPr>
          <w:p>
            <w:pPr>
              <w:spacing w:after="0"/>
            </w:pPr>
            <w:r/>
            <w:r>
              <w:rPr>
                <w:rFonts w:ascii="Aptos" w:hAnsi="Aptos"/>
                <w:b w:val="0"/>
                <w:sz w:val="18"/>
              </w:rPr>
              <w:t>Urgency level: Low, Medium, High, or Critical.</w:t>
            </w:r>
          </w:p>
        </w:tc>
      </w:tr>
      <w:tr>
        <w:tc>
          <w:tcPr>
            <w:tcW w:type="dxa" w:w="4968"/>
            <w:vAlign w:val="center"/>
          </w:tcPr>
          <w:p>
            <w:pPr>
              <w:spacing w:after="0"/>
            </w:pPr>
            <w:r/>
            <w:r>
              <w:rPr>
                <w:rFonts w:ascii="Aptos" w:hAnsi="Aptos"/>
                <w:b w:val="0"/>
                <w:sz w:val="18"/>
              </w:rPr>
              <w:t>Channel</w:t>
            </w:r>
          </w:p>
        </w:tc>
        <w:tc>
          <w:tcPr>
            <w:tcW w:type="dxa" w:w="4968"/>
            <w:vAlign w:val="center"/>
          </w:tcPr>
          <w:p>
            <w:pPr>
              <w:spacing w:after="0"/>
            </w:pPr>
            <w:r/>
            <w:r>
              <w:rPr>
                <w:rFonts w:ascii="Aptos" w:hAnsi="Aptos"/>
                <w:b w:val="0"/>
                <w:sz w:val="18"/>
              </w:rPr>
              <w:t>Intake channel: Chat, Portal, Phone, or Email.</w:t>
            </w:r>
          </w:p>
        </w:tc>
      </w:tr>
      <w:tr>
        <w:tc>
          <w:tcPr>
            <w:tcW w:type="dxa" w:w="4968"/>
            <w:vAlign w:val="center"/>
            <w:shd w:fill="F1F5F9"/>
          </w:tcPr>
          <w:p>
            <w:pPr>
              <w:spacing w:after="0"/>
            </w:pPr>
            <w:r/>
            <w:r>
              <w:rPr>
                <w:rFonts w:ascii="Aptos" w:hAnsi="Aptos"/>
                <w:b w:val="0"/>
                <w:sz w:val="18"/>
              </w:rPr>
              <w:t>Department</w:t>
            </w:r>
          </w:p>
        </w:tc>
        <w:tc>
          <w:tcPr>
            <w:tcW w:type="dxa" w:w="4968"/>
            <w:vAlign w:val="center"/>
            <w:shd w:fill="F1F5F9"/>
          </w:tcPr>
          <w:p>
            <w:pPr>
              <w:spacing w:after="0"/>
            </w:pPr>
            <w:r/>
            <w:r>
              <w:rPr>
                <w:rFonts w:ascii="Aptos" w:hAnsi="Aptos"/>
                <w:b w:val="0"/>
                <w:sz w:val="18"/>
              </w:rPr>
              <w:t>Department associated with the ticket.</w:t>
            </w:r>
          </w:p>
        </w:tc>
      </w:tr>
      <w:tr>
        <w:tc>
          <w:tcPr>
            <w:tcW w:type="dxa" w:w="4968"/>
            <w:vAlign w:val="center"/>
          </w:tcPr>
          <w:p>
            <w:pPr>
              <w:spacing w:after="0"/>
            </w:pPr>
            <w:r/>
            <w:r>
              <w:rPr>
                <w:rFonts w:ascii="Aptos" w:hAnsi="Aptos"/>
                <w:b w:val="0"/>
                <w:sz w:val="18"/>
              </w:rPr>
              <w:t>Technician</w:t>
            </w:r>
          </w:p>
        </w:tc>
        <w:tc>
          <w:tcPr>
            <w:tcW w:type="dxa" w:w="4968"/>
            <w:vAlign w:val="center"/>
          </w:tcPr>
          <w:p>
            <w:pPr>
              <w:spacing w:after="0"/>
            </w:pPr>
            <w:r/>
            <w:r>
              <w:rPr>
                <w:rFonts w:ascii="Aptos" w:hAnsi="Aptos"/>
                <w:b w:val="0"/>
                <w:sz w:val="18"/>
              </w:rPr>
              <w:t>Assigned support technician.</w:t>
            </w:r>
          </w:p>
        </w:tc>
      </w:tr>
      <w:tr>
        <w:tc>
          <w:tcPr>
            <w:tcW w:type="dxa" w:w="4968"/>
            <w:vAlign w:val="center"/>
            <w:shd w:fill="F1F5F9"/>
          </w:tcPr>
          <w:p>
            <w:pPr>
              <w:spacing w:after="0"/>
            </w:pPr>
            <w:r/>
            <w:r>
              <w:rPr>
                <w:rFonts w:ascii="Aptos" w:hAnsi="Aptos"/>
                <w:b w:val="0"/>
                <w:sz w:val="18"/>
              </w:rPr>
              <w:t>Status</w:t>
            </w:r>
          </w:p>
        </w:tc>
        <w:tc>
          <w:tcPr>
            <w:tcW w:type="dxa" w:w="4968"/>
            <w:vAlign w:val="center"/>
            <w:shd w:fill="F1F5F9"/>
          </w:tcPr>
          <w:p>
            <w:pPr>
              <w:spacing w:after="0"/>
            </w:pPr>
            <w:r/>
            <w:r>
              <w:rPr>
                <w:rFonts w:ascii="Aptos" w:hAnsi="Aptos"/>
                <w:b w:val="0"/>
                <w:sz w:val="18"/>
              </w:rPr>
              <w:t>Workflow status: Resolved, In Progress, Pending, or Escalated.</w:t>
            </w:r>
          </w:p>
        </w:tc>
      </w:tr>
      <w:tr>
        <w:tc>
          <w:tcPr>
            <w:tcW w:type="dxa" w:w="4968"/>
            <w:vAlign w:val="center"/>
          </w:tcPr>
          <w:p>
            <w:pPr>
              <w:spacing w:after="0"/>
            </w:pPr>
            <w:r/>
            <w:r>
              <w:rPr>
                <w:rFonts w:ascii="Aptos" w:hAnsi="Aptos"/>
                <w:b w:val="0"/>
                <w:sz w:val="18"/>
              </w:rPr>
              <w:t>Resolution Hours</w:t>
            </w:r>
          </w:p>
        </w:tc>
        <w:tc>
          <w:tcPr>
            <w:tcW w:type="dxa" w:w="4968"/>
            <w:vAlign w:val="center"/>
          </w:tcPr>
          <w:p>
            <w:pPr>
              <w:spacing w:after="0"/>
            </w:pPr>
            <w:r/>
            <w:r>
              <w:rPr>
                <w:rFonts w:ascii="Aptos" w:hAnsi="Aptos"/>
                <w:b w:val="0"/>
                <w:sz w:val="18"/>
              </w:rPr>
              <w:t>Elapsed resolution time in hours; blank when no resolution time is recorded.</w:t>
            </w:r>
          </w:p>
        </w:tc>
      </w:tr>
      <w:tr>
        <w:tc>
          <w:tcPr>
            <w:tcW w:type="dxa" w:w="4968"/>
            <w:vAlign w:val="center"/>
            <w:shd w:fill="F1F5F9"/>
          </w:tcPr>
          <w:p>
            <w:pPr>
              <w:spacing w:after="0"/>
            </w:pPr>
            <w:r/>
            <w:r>
              <w:rPr>
                <w:rFonts w:ascii="Aptos" w:hAnsi="Aptos"/>
                <w:b w:val="0"/>
                <w:sz w:val="18"/>
              </w:rPr>
              <w:t>SLA Target Hours</w:t>
            </w:r>
          </w:p>
        </w:tc>
        <w:tc>
          <w:tcPr>
            <w:tcW w:type="dxa" w:w="4968"/>
            <w:vAlign w:val="center"/>
            <w:shd w:fill="F1F5F9"/>
          </w:tcPr>
          <w:p>
            <w:pPr>
              <w:spacing w:after="0"/>
            </w:pPr>
            <w:r/>
            <w:r>
              <w:rPr>
                <w:rFonts w:ascii="Aptos" w:hAnsi="Aptos"/>
                <w:b w:val="0"/>
                <w:sz w:val="18"/>
              </w:rPr>
              <w:t>Target time allowed by the SLA.</w:t>
            </w:r>
          </w:p>
        </w:tc>
      </w:tr>
      <w:tr>
        <w:tc>
          <w:tcPr>
            <w:tcW w:type="dxa" w:w="4968"/>
            <w:vAlign w:val="center"/>
          </w:tcPr>
          <w:p>
            <w:pPr>
              <w:spacing w:after="0"/>
            </w:pPr>
            <w:r/>
            <w:r>
              <w:rPr>
                <w:rFonts w:ascii="Aptos" w:hAnsi="Aptos"/>
                <w:b w:val="0"/>
                <w:sz w:val="18"/>
              </w:rPr>
              <w:t>SLA Met</w:t>
            </w:r>
          </w:p>
        </w:tc>
        <w:tc>
          <w:tcPr>
            <w:tcW w:type="dxa" w:w="4968"/>
            <w:vAlign w:val="center"/>
          </w:tcPr>
          <w:p>
            <w:pPr>
              <w:spacing w:after="0"/>
            </w:pPr>
            <w:r/>
            <w:r>
              <w:rPr>
                <w:rFonts w:ascii="Aptos" w:hAnsi="Aptos"/>
                <w:b w:val="0"/>
                <w:sz w:val="18"/>
              </w:rPr>
              <w:t>Source flag indicating whether the SLA was met.</w:t>
            </w:r>
          </w:p>
        </w:tc>
      </w:tr>
      <w:tr>
        <w:tc>
          <w:tcPr>
            <w:tcW w:type="dxa" w:w="4968"/>
            <w:vAlign w:val="center"/>
            <w:shd w:fill="F1F5F9"/>
          </w:tcPr>
          <w:p>
            <w:pPr>
              <w:spacing w:after="0"/>
            </w:pPr>
            <w:r/>
            <w:r>
              <w:rPr>
                <w:rFonts w:ascii="Aptos" w:hAnsi="Aptos"/>
                <w:b w:val="0"/>
                <w:sz w:val="18"/>
              </w:rPr>
              <w:t>Month</w:t>
            </w:r>
          </w:p>
        </w:tc>
        <w:tc>
          <w:tcPr>
            <w:tcW w:type="dxa" w:w="4968"/>
            <w:vAlign w:val="center"/>
            <w:shd w:fill="F1F5F9"/>
          </w:tcPr>
          <w:p>
            <w:pPr>
              <w:spacing w:after="0"/>
            </w:pPr>
            <w:r/>
            <w:r>
              <w:rPr>
                <w:rFonts w:ascii="Aptos" w:hAnsi="Aptos"/>
                <w:b w:val="0"/>
                <w:sz w:val="18"/>
              </w:rPr>
              <w:t>Month label derived from the ticket date.</w:t>
            </w:r>
          </w:p>
        </w:tc>
      </w:tr>
      <w:tr>
        <w:tc>
          <w:tcPr>
            <w:tcW w:type="dxa" w:w="4968"/>
            <w:vAlign w:val="center"/>
          </w:tcPr>
          <w:p>
            <w:pPr>
              <w:spacing w:after="0"/>
            </w:pPr>
            <w:r/>
            <w:r>
              <w:rPr>
                <w:rFonts w:ascii="Aptos" w:hAnsi="Aptos"/>
                <w:b w:val="0"/>
                <w:sz w:val="18"/>
              </w:rPr>
              <w:t>Month Number</w:t>
            </w:r>
          </w:p>
        </w:tc>
        <w:tc>
          <w:tcPr>
            <w:tcW w:type="dxa" w:w="4968"/>
            <w:vAlign w:val="center"/>
          </w:tcPr>
          <w:p>
            <w:pPr>
              <w:spacing w:after="0"/>
            </w:pPr>
            <w:r/>
            <w:r>
              <w:rPr>
                <w:rFonts w:ascii="Aptos" w:hAnsi="Aptos"/>
                <w:b w:val="0"/>
                <w:sz w:val="18"/>
              </w:rPr>
              <w:t>Numeric month used to sort month labels chronologically.</w:t>
            </w:r>
          </w:p>
        </w:tc>
      </w:tr>
      <w:tr>
        <w:tc>
          <w:tcPr>
            <w:tcW w:type="dxa" w:w="4968"/>
            <w:vAlign w:val="center"/>
            <w:shd w:fill="F1F5F9"/>
          </w:tcPr>
          <w:p>
            <w:pPr>
              <w:spacing w:after="0"/>
            </w:pPr>
            <w:r/>
            <w:r>
              <w:rPr>
                <w:rFonts w:ascii="Aptos" w:hAnsi="Aptos"/>
                <w:b w:val="0"/>
                <w:sz w:val="18"/>
              </w:rPr>
              <w:t>Year</w:t>
            </w:r>
          </w:p>
        </w:tc>
        <w:tc>
          <w:tcPr>
            <w:tcW w:type="dxa" w:w="4968"/>
            <w:vAlign w:val="center"/>
            <w:shd w:fill="F1F5F9"/>
          </w:tcPr>
          <w:p>
            <w:pPr>
              <w:spacing w:after="0"/>
            </w:pPr>
            <w:r/>
            <w:r>
              <w:rPr>
                <w:rFonts w:ascii="Aptos" w:hAnsi="Aptos"/>
                <w:b w:val="0"/>
                <w:sz w:val="18"/>
              </w:rPr>
              <w:t>Year associated with the ticket date.</w:t>
            </w:r>
          </w:p>
        </w:tc>
      </w:tr>
      <w:tr>
        <w:tc>
          <w:tcPr>
            <w:tcW w:type="dxa" w:w="4968"/>
            <w:vAlign w:val="center"/>
          </w:tcPr>
          <w:p>
            <w:pPr>
              <w:spacing w:after="0"/>
            </w:pPr>
            <w:r/>
            <w:r>
              <w:rPr>
                <w:rFonts w:ascii="Aptos" w:hAnsi="Aptos"/>
                <w:b w:val="0"/>
                <w:sz w:val="18"/>
              </w:rPr>
              <w:t>SLA Outcome</w:t>
            </w:r>
          </w:p>
        </w:tc>
        <w:tc>
          <w:tcPr>
            <w:tcW w:type="dxa" w:w="4968"/>
            <w:vAlign w:val="center"/>
          </w:tcPr>
          <w:p>
            <w:pPr>
              <w:spacing w:after="0"/>
            </w:pPr>
            <w:r/>
            <w:r>
              <w:rPr>
                <w:rFonts w:ascii="Aptos" w:hAnsi="Aptos"/>
                <w:b w:val="0"/>
                <w:sz w:val="18"/>
              </w:rPr>
              <w:t>Outcome grouping: Met, Breached, or Not Yet Resolved.</w:t>
            </w:r>
          </w:p>
        </w:tc>
      </w:tr>
    </w:tbl>
    <w:p>
      <w:pPr>
        <w:spacing w:after="20"/>
      </w:pPr>
    </w:p>
    <w:p>
      <w:pPr>
        <w:pStyle w:val="Heading1"/>
      </w:pPr>
      <w:r>
        <w:t>4. Data Quality and Interpretation Notes</w:t>
      </w:r>
    </w:p>
    <w:p>
      <w:pPr>
        <w:pStyle w:val="ListBullet"/>
      </w:pPr>
      <w:r>
        <w:t>Confirm Created Date is typed as Date, not Text.</w:t>
      </w:r>
    </w:p>
    <w:p>
      <w:pPr>
        <w:pStyle w:val="ListBullet"/>
      </w:pPr>
      <w:r>
        <w:t>Set Resolution Hours and SLA Target Hours to numeric data types.</w:t>
      </w:r>
    </w:p>
    <w:p>
      <w:pPr>
        <w:pStyle w:val="ListBullet"/>
      </w:pPr>
      <w:r>
        <w:t>Sort Month by Month Number to avoid alphabetical month order.</w:t>
      </w:r>
    </w:p>
    <w:p>
      <w:pPr>
        <w:pStyle w:val="ListBullet"/>
      </w:pPr>
      <w:r>
        <w:t>Average Resolution Hours describes tickets with recorded resolution times, not all tickets.</w:t>
      </w:r>
    </w:p>
    <w:p>
      <w:pPr>
        <w:pStyle w:val="ListBullet"/>
      </w:pPr>
      <w:r>
        <w:t>SLA Compliance is defined here as Met / (Met + Breached); unresolved tickets are excluded from this denominator.</w:t>
      </w:r>
    </w:p>
    <w:p>
      <w:pPr>
        <w:pStyle w:val="ListBullet"/>
      </w:pPr>
      <w:r>
        <w:t>SLA Met = No does not always mean a confirmed breach; SLA Outcome distinguishes Breached from Not Yet Resolved.</w:t>
      </w:r>
    </w:p>
    <w:p>
      <w:pPr>
        <w:pStyle w:val="ListBullet"/>
      </w:pPr>
      <w:r>
        <w:t>The source extract has no Subcategory field; add one to the source before building subcategory visuals.</w:t>
      </w:r>
    </w:p>
    <w:p>
      <w:pPr>
        <w:pStyle w:val="Heading1"/>
      </w:pPr>
      <w:r>
        <w:t>5. Dashboard Structure</w:t>
      </w:r>
    </w:p>
    <w:p>
      <w:pPr>
        <w:pStyle w:val="Heading2"/>
      </w:pPr>
      <w:r>
        <w:t>Page 1 — Executive Overview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43A"/>
          </w:tcPr>
          <w:p>
            <w:pPr>
              <w:spacing w:after="0"/>
            </w:pPr>
            <w:r/>
            <w:r>
              <w:rPr>
                <w:rFonts w:ascii="Aptos" w:hAnsi="Aptos"/>
                <w:b/>
                <w:color w:val="FFFFFF"/>
                <w:sz w:val="18"/>
              </w:rPr>
              <w:t>Visual / KPI</w:t>
            </w:r>
          </w:p>
        </w:tc>
        <w:tc>
          <w:tcPr>
            <w:tcW w:type="dxa" w:w="4968"/>
            <w:vAlign w:val="center"/>
            <w:shd w:fill="14243A"/>
          </w:tcPr>
          <w:p>
            <w:pPr>
              <w:spacing w:after="0"/>
            </w:pPr>
            <w:r/>
            <w:r>
              <w:rPr>
                <w:rFonts w:ascii="Aptos" w:hAnsi="Aptos"/>
                <w:b/>
                <w:color w:val="FFFFFF"/>
                <w:sz w:val="18"/>
              </w:rPr>
              <w:t>What it communicates</w:t>
            </w:r>
          </w:p>
        </w:tc>
      </w:tr>
      <w:tr>
        <w:tc>
          <w:tcPr>
            <w:tcW w:type="dxa" w:w="4968"/>
            <w:vAlign w:val="center"/>
          </w:tcPr>
          <w:p>
            <w:pPr>
              <w:spacing w:after="0"/>
            </w:pPr>
            <w:r/>
            <w:r>
              <w:rPr>
                <w:rFonts w:ascii="Aptos" w:hAnsi="Aptos"/>
                <w:b w:val="0"/>
                <w:sz w:val="18"/>
              </w:rPr>
              <w:t>Total Tickets</w:t>
            </w:r>
          </w:p>
        </w:tc>
        <w:tc>
          <w:tcPr>
            <w:tcW w:type="dxa" w:w="4968"/>
            <w:vAlign w:val="center"/>
          </w:tcPr>
          <w:p>
            <w:pPr>
              <w:spacing w:after="0"/>
            </w:pPr>
            <w:r/>
            <w:r>
              <w:rPr>
                <w:rFonts w:ascii="Aptos" w:hAnsi="Aptos"/>
                <w:b w:val="0"/>
                <w:sz w:val="18"/>
              </w:rPr>
              <w:t>Distinct ticket IDs in the current filter context.</w:t>
            </w:r>
          </w:p>
        </w:tc>
      </w:tr>
      <w:tr>
        <w:tc>
          <w:tcPr>
            <w:tcW w:type="dxa" w:w="4968"/>
            <w:vAlign w:val="center"/>
            <w:shd w:fill="F1F5F9"/>
          </w:tcPr>
          <w:p>
            <w:pPr>
              <w:spacing w:after="0"/>
            </w:pPr>
            <w:r/>
            <w:r>
              <w:rPr>
                <w:rFonts w:ascii="Aptos" w:hAnsi="Aptos"/>
                <w:b w:val="0"/>
                <w:sz w:val="18"/>
              </w:rPr>
              <w:t>Resolved Tickets</w:t>
            </w:r>
          </w:p>
        </w:tc>
        <w:tc>
          <w:tcPr>
            <w:tcW w:type="dxa" w:w="4968"/>
            <w:vAlign w:val="center"/>
            <w:shd w:fill="F1F5F9"/>
          </w:tcPr>
          <w:p>
            <w:pPr>
              <w:spacing w:after="0"/>
            </w:pPr>
            <w:r/>
            <w:r>
              <w:rPr>
                <w:rFonts w:ascii="Aptos" w:hAnsi="Aptos"/>
                <w:b w:val="0"/>
                <w:sz w:val="18"/>
              </w:rPr>
              <w:t>Tickets with Status = Resolved.</w:t>
            </w:r>
          </w:p>
        </w:tc>
      </w:tr>
      <w:tr>
        <w:tc>
          <w:tcPr>
            <w:tcW w:type="dxa" w:w="4968"/>
            <w:vAlign w:val="center"/>
          </w:tcPr>
          <w:p>
            <w:pPr>
              <w:spacing w:after="0"/>
            </w:pPr>
            <w:r/>
            <w:r>
              <w:rPr>
                <w:rFonts w:ascii="Aptos" w:hAnsi="Aptos"/>
                <w:b w:val="0"/>
                <w:sz w:val="18"/>
              </w:rPr>
              <w:t>Resolution Rate</w:t>
            </w:r>
          </w:p>
        </w:tc>
        <w:tc>
          <w:tcPr>
            <w:tcW w:type="dxa" w:w="4968"/>
            <w:vAlign w:val="center"/>
          </w:tcPr>
          <w:p>
            <w:pPr>
              <w:spacing w:after="0"/>
            </w:pPr>
            <w:r/>
            <w:r>
              <w:rPr>
                <w:rFonts w:ascii="Aptos" w:hAnsi="Aptos"/>
                <w:b w:val="0"/>
                <w:sz w:val="18"/>
              </w:rPr>
              <w:t>Resolved Tickets divided by Total Tickets.</w:t>
            </w:r>
          </w:p>
        </w:tc>
      </w:tr>
      <w:tr>
        <w:tc>
          <w:tcPr>
            <w:tcW w:type="dxa" w:w="4968"/>
            <w:vAlign w:val="center"/>
            <w:shd w:fill="F1F5F9"/>
          </w:tcPr>
          <w:p>
            <w:pPr>
              <w:spacing w:after="0"/>
            </w:pPr>
            <w:r/>
            <w:r>
              <w:rPr>
                <w:rFonts w:ascii="Aptos" w:hAnsi="Aptos"/>
                <w:b w:val="0"/>
                <w:sz w:val="18"/>
              </w:rPr>
              <w:t>Average Resolution Hours</w:t>
            </w:r>
          </w:p>
        </w:tc>
        <w:tc>
          <w:tcPr>
            <w:tcW w:type="dxa" w:w="4968"/>
            <w:vAlign w:val="center"/>
            <w:shd w:fill="F1F5F9"/>
          </w:tcPr>
          <w:p>
            <w:pPr>
              <w:spacing w:after="0"/>
            </w:pPr>
            <w:r/>
            <w:r>
              <w:rPr>
                <w:rFonts w:ascii="Aptos" w:hAnsi="Aptos"/>
                <w:b w:val="0"/>
                <w:sz w:val="18"/>
              </w:rPr>
              <w:t>Average recorded resolution time.</w:t>
            </w:r>
          </w:p>
        </w:tc>
      </w:tr>
      <w:tr>
        <w:tc>
          <w:tcPr>
            <w:tcW w:type="dxa" w:w="4968"/>
            <w:vAlign w:val="center"/>
          </w:tcPr>
          <w:p>
            <w:pPr>
              <w:spacing w:after="0"/>
            </w:pPr>
            <w:r/>
            <w:r>
              <w:rPr>
                <w:rFonts w:ascii="Aptos" w:hAnsi="Aptos"/>
                <w:b w:val="0"/>
                <w:sz w:val="18"/>
              </w:rPr>
              <w:t>Ticket Trend</w:t>
            </w:r>
          </w:p>
        </w:tc>
        <w:tc>
          <w:tcPr>
            <w:tcW w:type="dxa" w:w="4968"/>
            <w:vAlign w:val="center"/>
          </w:tcPr>
          <w:p>
            <w:pPr>
              <w:spacing w:after="0"/>
            </w:pPr>
            <w:r/>
            <w:r>
              <w:rPr>
                <w:rFonts w:ascii="Aptos" w:hAnsi="Aptos"/>
                <w:b w:val="0"/>
                <w:sz w:val="18"/>
              </w:rPr>
              <w:t>Ticket count over time using Created Date or Year-Month.</w:t>
            </w:r>
          </w:p>
        </w:tc>
      </w:tr>
      <w:tr>
        <w:tc>
          <w:tcPr>
            <w:tcW w:type="dxa" w:w="4968"/>
            <w:vAlign w:val="center"/>
            <w:shd w:fill="F1F5F9"/>
          </w:tcPr>
          <w:p>
            <w:pPr>
              <w:spacing w:after="0"/>
            </w:pPr>
            <w:r/>
            <w:r>
              <w:rPr>
                <w:rFonts w:ascii="Aptos" w:hAnsi="Aptos"/>
                <w:b w:val="0"/>
                <w:sz w:val="18"/>
              </w:rPr>
              <w:t>Ticket Status Distribution</w:t>
            </w:r>
          </w:p>
        </w:tc>
        <w:tc>
          <w:tcPr>
            <w:tcW w:type="dxa" w:w="4968"/>
            <w:vAlign w:val="center"/>
            <w:shd w:fill="F1F5F9"/>
          </w:tcPr>
          <w:p>
            <w:pPr>
              <w:spacing w:after="0"/>
            </w:pPr>
            <w:r/>
            <w:r>
              <w:rPr>
                <w:rFonts w:ascii="Aptos" w:hAnsi="Aptos"/>
                <w:b w:val="0"/>
                <w:sz w:val="18"/>
              </w:rPr>
              <w:t>Counts across Resolved, In Progress, Pending, and Escalated.</w:t>
            </w:r>
          </w:p>
        </w:tc>
      </w:tr>
      <w:tr>
        <w:tc>
          <w:tcPr>
            <w:tcW w:type="dxa" w:w="4968"/>
            <w:vAlign w:val="center"/>
          </w:tcPr>
          <w:p>
            <w:pPr>
              <w:spacing w:after="0"/>
            </w:pPr>
            <w:r/>
            <w:r>
              <w:rPr>
                <w:rFonts w:ascii="Aptos" w:hAnsi="Aptos"/>
                <w:b w:val="0"/>
                <w:sz w:val="18"/>
              </w:rPr>
              <w:t>Tickets by Priority</w:t>
            </w:r>
          </w:p>
        </w:tc>
        <w:tc>
          <w:tcPr>
            <w:tcW w:type="dxa" w:w="4968"/>
            <w:vAlign w:val="center"/>
          </w:tcPr>
          <w:p>
            <w:pPr>
              <w:spacing w:after="0"/>
            </w:pPr>
            <w:r/>
            <w:r>
              <w:rPr>
                <w:rFonts w:ascii="Aptos" w:hAnsi="Aptos"/>
                <w:b w:val="0"/>
                <w:sz w:val="18"/>
              </w:rPr>
              <w:t>Volume of Low, Medium, High, and Critical tickets.</w:t>
            </w:r>
          </w:p>
        </w:tc>
      </w:tr>
      <w:tr>
        <w:tc>
          <w:tcPr>
            <w:tcW w:type="dxa" w:w="4968"/>
            <w:vAlign w:val="center"/>
            <w:shd w:fill="F1F5F9"/>
          </w:tcPr>
          <w:p>
            <w:pPr>
              <w:spacing w:after="0"/>
            </w:pPr>
            <w:r/>
            <w:r>
              <w:rPr>
                <w:rFonts w:ascii="Aptos" w:hAnsi="Aptos"/>
                <w:b w:val="0"/>
                <w:sz w:val="18"/>
              </w:rPr>
              <w:t>Tickets by Category</w:t>
            </w:r>
          </w:p>
        </w:tc>
        <w:tc>
          <w:tcPr>
            <w:tcW w:type="dxa" w:w="4968"/>
            <w:vAlign w:val="center"/>
            <w:shd w:fill="F1F5F9"/>
          </w:tcPr>
          <w:p>
            <w:pPr>
              <w:spacing w:after="0"/>
            </w:pPr>
            <w:r/>
            <w:r>
              <w:rPr>
                <w:rFonts w:ascii="Aptos" w:hAnsi="Aptos"/>
                <w:b w:val="0"/>
                <w:sz w:val="18"/>
              </w:rPr>
              <w:t>Issue mix across the available categories.</w:t>
            </w:r>
          </w:p>
        </w:tc>
      </w:tr>
    </w:tbl>
    <w:p>
      <w:pPr>
        <w:spacing w:after="20"/>
      </w:pPr>
    </w:p>
    <w:p>
      <w:pPr>
        <w:pStyle w:val="Heading2"/>
      </w:pPr>
      <w:r>
        <w:t>Page 2 — Ticket Analysis</w:t>
      </w:r>
    </w:p>
    <w:p>
      <w:pPr>
        <w:pStyle w:val="ListBullet"/>
      </w:pPr>
      <w:r>
        <w:t>Tickets by Category — horizontal bar chart.</w:t>
      </w:r>
    </w:p>
    <w:p>
      <w:pPr>
        <w:pStyle w:val="ListBullet"/>
      </w:pPr>
      <w:r>
        <w:t>Tickets by Channel — donut or bar chart.</w:t>
      </w:r>
    </w:p>
    <w:p>
      <w:pPr>
        <w:pStyle w:val="ListBullet"/>
      </w:pPr>
      <w:r>
        <w:t>Tickets by Department and Priority — stacked bar chart.</w:t>
      </w:r>
    </w:p>
    <w:p>
      <w:pPr>
        <w:pStyle w:val="ListBullet"/>
      </w:pPr>
      <w:r>
        <w:t>Ticket Status by Priority — matrix or stacked bar chart.</w:t>
      </w:r>
    </w:p>
    <w:p>
      <w:pPr>
        <w:pStyle w:val="ListBullet"/>
      </w:pPr>
      <w:r>
        <w:t>Monthly Ticket Volume — line chart using a chronological Year-Month axis.</w:t>
      </w:r>
    </w:p>
    <w:p>
      <w:pPr>
        <w:pStyle w:val="Heading2"/>
      </w:pPr>
      <w:r>
        <w:t>Page 3 — Technician Performance</w:t>
      </w:r>
    </w:p>
    <w:p>
      <w:pPr>
        <w:pStyle w:val="ListBullet"/>
      </w:pPr>
      <w:r>
        <w:t>Tickets Assigned by Technician — bar chart.</w:t>
      </w:r>
    </w:p>
    <w:p>
      <w:pPr>
        <w:pStyle w:val="ListBullet"/>
      </w:pPr>
      <w:r>
        <w:t>Average Resolution Hours by Technician — bar chart; blank resolution values are excluded.</w:t>
      </w:r>
    </w:p>
    <w:p>
      <w:pPr>
        <w:pStyle w:val="ListBullet"/>
      </w:pPr>
      <w:r>
        <w:t>SLA Outcome by Technician — stacked bar chart.</w:t>
      </w:r>
    </w:p>
    <w:p>
      <w:pPr>
        <w:pStyle w:val="ListBullet"/>
      </w:pPr>
      <w:r>
        <w:t>Technician performance matrix: assigned tickets, resolved tickets, average resolution hours, and SLA outcomes.</w:t>
      </w:r>
    </w:p>
    <w:p>
      <w:pPr>
        <w:pStyle w:val="Heading2"/>
      </w:pPr>
      <w:r>
        <w:t>Page 4 — SLA &amp; Resolution</w:t>
      </w:r>
    </w:p>
    <w:p>
      <w:pPr>
        <w:pStyle w:val="ListBullet"/>
      </w:pPr>
      <w:r>
        <w:t>SLA Outcome Distribution — Met, Breached, and Not Yet Resolved.</w:t>
      </w:r>
    </w:p>
    <w:p>
      <w:pPr>
        <w:pStyle w:val="ListBullet"/>
      </w:pPr>
      <w:r>
        <w:t>SLA Outcome by Priority — stacked bar chart.</w:t>
      </w:r>
    </w:p>
    <w:p>
      <w:pPr>
        <w:pStyle w:val="ListBullet"/>
      </w:pPr>
      <w:r>
        <w:t>Average Resolution Hours by Category — bar chart.</w:t>
      </w:r>
    </w:p>
    <w:p>
      <w:pPr>
        <w:pStyle w:val="ListBullet"/>
      </w:pPr>
      <w:r>
        <w:t>Resolution Band — counts grouped by recorded resolution time.</w:t>
      </w:r>
    </w:p>
    <w:p>
      <w:pPr>
        <w:pStyle w:val="ListBullet"/>
      </w:pPr>
      <w:r>
        <w:t>High Priority Unresolved — KPI for High-priority tickets whose Status is not Resolved.</w:t>
      </w:r>
    </w:p>
    <w:p>
      <w:pPr>
        <w:pStyle w:val="Heading1"/>
      </w:pPr>
      <w:r>
        <w:t>6. Core DAX Measures</w:t>
      </w:r>
    </w:p>
    <w:p>
      <w:r>
        <w:t>Create these measures in the Tickets table or a dedicated Measures table. Adjust names if your model differs. Some regional settings use semicolons instead of commas.</w:t>
      </w:r>
    </w:p>
    <w:p>
      <w:pPr>
        <w:pStyle w:val="Heading3"/>
      </w:pPr>
      <w:r>
        <w:t>Total Tickets</w:t>
      </w:r>
    </w:p>
    <w:p>
      <w:pPr>
        <w:ind w:left="259"/>
      </w:pPr>
      <w:r>
        <w:rPr>
          <w:rFonts w:ascii="Consolas" w:hAnsi="Consolas"/>
          <w:color w:val="2563EB"/>
          <w:sz w:val="18"/>
        </w:rPr>
        <w:t>Total Tickets = DISTINCTCOUNT ( Tickets[Ticket ID] )</w:t>
      </w:r>
    </w:p>
    <w:p>
      <w:pPr>
        <w:pStyle w:val="Heading3"/>
      </w:pPr>
      <w:r>
        <w:t>Resolved Tickets</w:t>
      </w:r>
    </w:p>
    <w:p>
      <w:pPr>
        <w:ind w:left="259"/>
      </w:pPr>
      <w:r>
        <w:rPr>
          <w:rFonts w:ascii="Consolas" w:hAnsi="Consolas"/>
          <w:color w:val="2563EB"/>
          <w:sz w:val="18"/>
        </w:rPr>
        <w:t>Resolved Tickets = CALCULATE ( [Total Tickets], Tickets[Status] = "Resolved" )</w:t>
      </w:r>
    </w:p>
    <w:p>
      <w:pPr>
        <w:pStyle w:val="Heading3"/>
      </w:pPr>
      <w:r>
        <w:t>Unresolved Tickets</w:t>
      </w:r>
    </w:p>
    <w:p>
      <w:pPr>
        <w:ind w:left="259"/>
      </w:pPr>
      <w:r>
        <w:rPr>
          <w:rFonts w:ascii="Consolas" w:hAnsi="Consolas"/>
          <w:color w:val="2563EB"/>
          <w:sz w:val="18"/>
        </w:rPr>
        <w:t>Unresolved Tickets = CALCULATE ( [Total Tickets], Tickets[Status] &lt;&gt; "Resolved" )</w:t>
      </w:r>
    </w:p>
    <w:p>
      <w:pPr>
        <w:pStyle w:val="Heading3"/>
      </w:pPr>
      <w:r>
        <w:t>Resolution Rate</w:t>
      </w:r>
    </w:p>
    <w:p>
      <w:pPr>
        <w:ind w:left="259"/>
      </w:pPr>
      <w:r>
        <w:rPr>
          <w:rFonts w:ascii="Consolas" w:hAnsi="Consolas"/>
          <w:color w:val="2563EB"/>
          <w:sz w:val="18"/>
        </w:rPr>
        <w:t>Resolution Rate = DIVIDE ( [Resolved Tickets], [Total Tickets], 0 )</w:t>
      </w:r>
    </w:p>
    <w:p>
      <w:pPr>
        <w:pStyle w:val="Heading3"/>
      </w:pPr>
      <w:r>
        <w:t>Average Resolution Hours</w:t>
      </w:r>
    </w:p>
    <w:p>
      <w:pPr>
        <w:ind w:left="259"/>
      </w:pPr>
      <w:r>
        <w:rPr>
          <w:rFonts w:ascii="Consolas" w:hAnsi="Consolas"/>
          <w:color w:val="2563EB"/>
          <w:sz w:val="18"/>
        </w:rPr>
        <w:t>Average Resolution Hours = AVERAGE ( Tickets[Resolution Hours] )</w:t>
      </w:r>
    </w:p>
    <w:p>
      <w:pPr>
        <w:pStyle w:val="Heading3"/>
      </w:pPr>
      <w:r>
        <w:t>SLA Met Tickets</w:t>
      </w:r>
    </w:p>
    <w:p>
      <w:pPr>
        <w:ind w:left="259"/>
      </w:pPr>
      <w:r>
        <w:rPr>
          <w:rFonts w:ascii="Consolas" w:hAnsi="Consolas"/>
          <w:color w:val="2563EB"/>
          <w:sz w:val="18"/>
        </w:rPr>
        <w:t>SLA Met Tickets = CALCULATE ( [Total Tickets], Tickets[SLA Outcome] = "Met" )</w:t>
      </w:r>
    </w:p>
    <w:p>
      <w:pPr>
        <w:pStyle w:val="Heading3"/>
      </w:pPr>
      <w:r>
        <w:t>SLA Breached Tickets</w:t>
      </w:r>
    </w:p>
    <w:p>
      <w:pPr>
        <w:ind w:left="259"/>
      </w:pPr>
      <w:r>
        <w:rPr>
          <w:rFonts w:ascii="Consolas" w:hAnsi="Consolas"/>
          <w:color w:val="2563EB"/>
          <w:sz w:val="18"/>
        </w:rPr>
        <w:t>SLA Breached Tickets = CALCULATE ( [Total Tickets], Tickets[SLA Outcome] = "Breached" )</w:t>
      </w:r>
    </w:p>
    <w:p>
      <w:pPr>
        <w:pStyle w:val="Heading3"/>
      </w:pPr>
      <w:r>
        <w:t>SLA Compliance</w:t>
      </w:r>
    </w:p>
    <w:p>
      <w:pPr>
        <w:ind w:left="259"/>
      </w:pPr>
      <w:r>
        <w:rPr>
          <w:rFonts w:ascii="Consolas" w:hAnsi="Consolas"/>
          <w:color w:val="2563EB"/>
          <w:sz w:val="18"/>
        </w:rPr>
        <w:t>SLA Compliance = DIVIDE ( [SLA Met Tickets], [SLA Met Tickets] + [SLA Breached Tickets], 0 )</w:t>
      </w:r>
    </w:p>
    <w:p>
      <w:pPr>
        <w:pStyle w:val="Heading3"/>
      </w:pPr>
      <w:r>
        <w:t>High Priority Tickets</w:t>
      </w:r>
    </w:p>
    <w:p>
      <w:pPr>
        <w:ind w:left="259"/>
      </w:pPr>
      <w:r>
        <w:rPr>
          <w:rFonts w:ascii="Consolas" w:hAnsi="Consolas"/>
          <w:color w:val="2563EB"/>
          <w:sz w:val="18"/>
        </w:rPr>
        <w:t>High Priority Tickets = CALCULATE ( [Total Tickets], Tickets[Priority] = "High" )</w:t>
      </w:r>
    </w:p>
    <w:p>
      <w:pPr>
        <w:pStyle w:val="Heading3"/>
      </w:pPr>
      <w:r>
        <w:t>High Priority Unresolved</w:t>
      </w:r>
    </w:p>
    <w:p>
      <w:pPr>
        <w:ind w:left="259"/>
      </w:pPr>
      <w:r>
        <w:rPr>
          <w:rFonts w:ascii="Consolas" w:hAnsi="Consolas"/>
          <w:color w:val="2563EB"/>
          <w:sz w:val="18"/>
        </w:rPr>
        <w:t>High Priority Unresolved = CALCULATE ( [Total Tickets], Tickets[Priority] = "High", Tickets[Status] &lt;&gt; "Resolved" )</w:t>
      </w:r>
    </w:p>
    <w:p>
      <w:pPr>
        <w:pStyle w:val="Heading1"/>
      </w:pPr>
      <w:r>
        <w:t>7. Calendar Table and Time Trends</w:t>
      </w:r>
    </w:p>
    <w:p>
      <w:r>
        <w:t>A dedicated calendar table is recommended for reliable date filtering and chronological trends.</w:t>
      </w:r>
    </w:p>
    <w:p>
      <w:pPr>
        <w:ind w:left="259"/>
      </w:pPr>
      <w:r>
        <w:rPr>
          <w:rFonts w:ascii="Consolas" w:hAnsi="Consolas"/>
          <w:color w:val="2563EB"/>
          <w:sz w:val="18"/>
        </w:rPr>
        <w:t>Calendar =</w:t>
        <w:br/>
        <w:t>ADDCOLUMNS (</w:t>
        <w:br/>
        <w:t xml:space="preserve">    CALENDAR (</w:t>
        <w:br/>
        <w:t xml:space="preserve">        MIN ( Tickets[Created Date] ),</w:t>
        <w:br/>
        <w:t xml:space="preserve">        MAX ( Tickets[Created Date] )</w:t>
        <w:br/>
        <w:t xml:space="preserve">    ),</w:t>
        <w:br/>
        <w:t xml:space="preserve">    "Year", YEAR ( [Date] ),</w:t>
        <w:br/>
        <w:t xml:space="preserve">    "Month Number", MONTH ( [Date] ),</w:t>
        <w:br/>
        <w:t xml:space="preserve">    "Month", FORMAT ( [Date], "MMM" ),</w:t>
        <w:br/>
        <w:t xml:space="preserve">    "Year Month", FORMAT ( [Date], "yyyy-MM" ),</w:t>
        <w:br/>
        <w:t xml:space="preserve">    "Weekday Number", WEEKDAY ( [Date], 2 ),</w:t>
        <w:br/>
        <w:t xml:space="preserve">    "Weekday", FORMAT ( [Date], "dddd" )</w:t>
        <w:br/>
        <w:t>)</w:t>
      </w:r>
    </w:p>
    <w:p>
      <w:r>
        <w:t>Create a one-to-many relationship from Calendar[Date] to Tickets[Created Date]. Mark Calendar as the date table if available. Sort Calendar[Month] by Calendar[Month Number], and sort Year Month chronologically.</w:t>
      </w:r>
    </w:p>
    <w:p>
      <w:pPr>
        <w:pStyle w:val="Heading1"/>
      </w:pPr>
      <w:r>
        <w:t>8. Suggested Visual Design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43A"/>
          </w:tcPr>
          <w:p>
            <w:pPr>
              <w:spacing w:after="0"/>
            </w:pPr>
            <w:r/>
            <w:r>
              <w:rPr>
                <w:rFonts w:ascii="Aptos" w:hAnsi="Aptos"/>
                <w:b/>
                <w:color w:val="FFFFFF"/>
                <w:sz w:val="18"/>
              </w:rPr>
              <w:t>Element</w:t>
            </w:r>
          </w:p>
        </w:tc>
        <w:tc>
          <w:tcPr>
            <w:tcW w:type="dxa" w:w="4968"/>
            <w:vAlign w:val="center"/>
            <w:shd w:fill="14243A"/>
          </w:tcPr>
          <w:p>
            <w:pPr>
              <w:spacing w:after="0"/>
            </w:pPr>
            <w:r/>
            <w:r>
              <w:rPr>
                <w:rFonts w:ascii="Aptos" w:hAnsi="Aptos"/>
                <w:b/>
                <w:color w:val="FFFFFF"/>
                <w:sz w:val="18"/>
              </w:rPr>
              <w:t>Recommendation</w:t>
            </w:r>
          </w:p>
        </w:tc>
      </w:tr>
      <w:tr>
        <w:tc>
          <w:tcPr>
            <w:tcW w:type="dxa" w:w="4968"/>
            <w:vAlign w:val="center"/>
          </w:tcPr>
          <w:p>
            <w:pPr>
              <w:spacing w:after="0"/>
            </w:pPr>
            <w:r/>
            <w:r>
              <w:rPr>
                <w:rFonts w:ascii="Aptos" w:hAnsi="Aptos"/>
                <w:b w:val="0"/>
                <w:sz w:val="18"/>
              </w:rPr>
              <w:t>Canvas</w:t>
            </w:r>
          </w:p>
        </w:tc>
        <w:tc>
          <w:tcPr>
            <w:tcW w:type="dxa" w:w="4968"/>
            <w:vAlign w:val="center"/>
          </w:tcPr>
          <w:p>
            <w:pPr>
              <w:spacing w:after="0"/>
            </w:pPr>
            <w:r/>
            <w:r>
              <w:rPr>
                <w:rFonts w:ascii="Aptos" w:hAnsi="Aptos"/>
                <w:b w:val="0"/>
                <w:sz w:val="18"/>
              </w:rPr>
              <w:t>16:9 widescreen; pale background #F3F6FA.</w:t>
            </w:r>
          </w:p>
        </w:tc>
      </w:tr>
      <w:tr>
        <w:tc>
          <w:tcPr>
            <w:tcW w:type="dxa" w:w="4968"/>
            <w:vAlign w:val="center"/>
            <w:shd w:fill="F1F5F9"/>
          </w:tcPr>
          <w:p>
            <w:pPr>
              <w:spacing w:after="0"/>
            </w:pPr>
            <w:r/>
            <w:r>
              <w:rPr>
                <w:rFonts w:ascii="Aptos" w:hAnsi="Aptos"/>
                <w:b w:val="0"/>
                <w:sz w:val="18"/>
              </w:rPr>
              <w:t>Header</w:t>
            </w:r>
          </w:p>
        </w:tc>
        <w:tc>
          <w:tcPr>
            <w:tcW w:type="dxa" w:w="4968"/>
            <w:vAlign w:val="center"/>
            <w:shd w:fill="F1F5F9"/>
          </w:tcPr>
          <w:p>
            <w:pPr>
              <w:spacing w:after="0"/>
            </w:pPr>
            <w:r/>
            <w:r>
              <w:rPr>
                <w:rFonts w:ascii="Aptos" w:hAnsi="Aptos"/>
                <w:b w:val="0"/>
                <w:sz w:val="18"/>
              </w:rPr>
              <w:t>Deep navy #14243A with a clear report title.</w:t>
            </w:r>
          </w:p>
        </w:tc>
      </w:tr>
      <w:tr>
        <w:tc>
          <w:tcPr>
            <w:tcW w:type="dxa" w:w="4968"/>
            <w:vAlign w:val="center"/>
          </w:tcPr>
          <w:p>
            <w:pPr>
              <w:spacing w:after="0"/>
            </w:pPr>
            <w:r/>
            <w:r>
              <w:rPr>
                <w:rFonts w:ascii="Aptos" w:hAnsi="Aptos"/>
                <w:b w:val="0"/>
                <w:sz w:val="18"/>
              </w:rPr>
              <w:t>Cards</w:t>
            </w:r>
          </w:p>
        </w:tc>
        <w:tc>
          <w:tcPr>
            <w:tcW w:type="dxa" w:w="4968"/>
            <w:vAlign w:val="center"/>
          </w:tcPr>
          <w:p>
            <w:pPr>
              <w:spacing w:after="0"/>
            </w:pPr>
            <w:r/>
            <w:r>
              <w:rPr>
                <w:rFonts w:ascii="Aptos" w:hAnsi="Aptos"/>
                <w:b w:val="0"/>
                <w:sz w:val="18"/>
              </w:rPr>
              <w:t>White backgrounds, subtle borders or shadows, consistent spacing.</w:t>
            </w:r>
          </w:p>
        </w:tc>
      </w:tr>
      <w:tr>
        <w:tc>
          <w:tcPr>
            <w:tcW w:type="dxa" w:w="4968"/>
            <w:vAlign w:val="center"/>
            <w:shd w:fill="F1F5F9"/>
          </w:tcPr>
          <w:p>
            <w:pPr>
              <w:spacing w:after="0"/>
            </w:pPr>
            <w:r/>
            <w:r>
              <w:rPr>
                <w:rFonts w:ascii="Aptos" w:hAnsi="Aptos"/>
                <w:b w:val="0"/>
                <w:sz w:val="18"/>
              </w:rPr>
              <w:t>Primary accent</w:t>
            </w:r>
          </w:p>
        </w:tc>
        <w:tc>
          <w:tcPr>
            <w:tcW w:type="dxa" w:w="4968"/>
            <w:vAlign w:val="center"/>
            <w:shd w:fill="F1F5F9"/>
          </w:tcPr>
          <w:p>
            <w:pPr>
              <w:spacing w:after="0"/>
            </w:pPr>
            <w:r/>
            <w:r>
              <w:rPr>
                <w:rFonts w:ascii="Aptos" w:hAnsi="Aptos"/>
                <w:b w:val="0"/>
                <w:sz w:val="18"/>
              </w:rPr>
              <w:t>Blue #2563EB for main charts and navigation.</w:t>
            </w:r>
          </w:p>
        </w:tc>
      </w:tr>
      <w:tr>
        <w:tc>
          <w:tcPr>
            <w:tcW w:type="dxa" w:w="4968"/>
            <w:vAlign w:val="center"/>
          </w:tcPr>
          <w:p>
            <w:pPr>
              <w:spacing w:after="0"/>
            </w:pPr>
            <w:r/>
            <w:r>
              <w:rPr>
                <w:rFonts w:ascii="Aptos" w:hAnsi="Aptos"/>
                <w:b w:val="0"/>
                <w:sz w:val="18"/>
              </w:rPr>
              <w:t>Positive outcome</w:t>
            </w:r>
          </w:p>
        </w:tc>
        <w:tc>
          <w:tcPr>
            <w:tcW w:type="dxa" w:w="4968"/>
            <w:vAlign w:val="center"/>
          </w:tcPr>
          <w:p>
            <w:pPr>
              <w:spacing w:after="0"/>
            </w:pPr>
            <w:r/>
            <w:r>
              <w:rPr>
                <w:rFonts w:ascii="Aptos" w:hAnsi="Aptos"/>
                <w:b w:val="0"/>
                <w:sz w:val="18"/>
              </w:rPr>
              <w:t>Green #059669 for resolved tickets and SLA met.</w:t>
            </w:r>
          </w:p>
        </w:tc>
      </w:tr>
      <w:tr>
        <w:tc>
          <w:tcPr>
            <w:tcW w:type="dxa" w:w="4968"/>
            <w:vAlign w:val="center"/>
            <w:shd w:fill="F1F5F9"/>
          </w:tcPr>
          <w:p>
            <w:pPr>
              <w:spacing w:after="0"/>
            </w:pPr>
            <w:r/>
            <w:r>
              <w:rPr>
                <w:rFonts w:ascii="Aptos" w:hAnsi="Aptos"/>
                <w:b w:val="0"/>
                <w:sz w:val="18"/>
              </w:rPr>
              <w:t>Warning</w:t>
            </w:r>
          </w:p>
        </w:tc>
        <w:tc>
          <w:tcPr>
            <w:tcW w:type="dxa" w:w="4968"/>
            <w:vAlign w:val="center"/>
            <w:shd w:fill="F1F5F9"/>
          </w:tcPr>
          <w:p>
            <w:pPr>
              <w:spacing w:after="0"/>
            </w:pPr>
            <w:r/>
            <w:r>
              <w:rPr>
                <w:rFonts w:ascii="Aptos" w:hAnsi="Aptos"/>
                <w:b w:val="0"/>
                <w:sz w:val="18"/>
              </w:rPr>
              <w:t>Amber #D97706 for pending/in-progress or attention-needed items.</w:t>
            </w:r>
          </w:p>
        </w:tc>
      </w:tr>
      <w:tr>
        <w:tc>
          <w:tcPr>
            <w:tcW w:type="dxa" w:w="4968"/>
            <w:vAlign w:val="center"/>
          </w:tcPr>
          <w:p>
            <w:pPr>
              <w:spacing w:after="0"/>
            </w:pPr>
            <w:r/>
            <w:r>
              <w:rPr>
                <w:rFonts w:ascii="Aptos" w:hAnsi="Aptos"/>
                <w:b w:val="0"/>
                <w:sz w:val="18"/>
              </w:rPr>
              <w:t>Breach / escalation</w:t>
            </w:r>
          </w:p>
        </w:tc>
        <w:tc>
          <w:tcPr>
            <w:tcW w:type="dxa" w:w="4968"/>
            <w:vAlign w:val="center"/>
          </w:tcPr>
          <w:p>
            <w:pPr>
              <w:spacing w:after="0"/>
            </w:pPr>
            <w:r/>
            <w:r>
              <w:rPr>
                <w:rFonts w:ascii="Aptos" w:hAnsi="Aptos"/>
                <w:b w:val="0"/>
                <w:sz w:val="18"/>
              </w:rPr>
              <w:t>Red #DC5252 for SLA breaches and escalations.</w:t>
            </w:r>
          </w:p>
        </w:tc>
      </w:tr>
      <w:tr>
        <w:tc>
          <w:tcPr>
            <w:tcW w:type="dxa" w:w="4968"/>
            <w:vAlign w:val="center"/>
            <w:shd w:fill="F1F5F9"/>
          </w:tcPr>
          <w:p>
            <w:pPr>
              <w:spacing w:after="0"/>
            </w:pPr>
            <w:r/>
            <w:r>
              <w:rPr>
                <w:rFonts w:ascii="Aptos" w:hAnsi="Aptos"/>
                <w:b w:val="0"/>
                <w:sz w:val="18"/>
              </w:rPr>
              <w:t>Typography</w:t>
            </w:r>
          </w:p>
        </w:tc>
        <w:tc>
          <w:tcPr>
            <w:tcW w:type="dxa" w:w="4968"/>
            <w:vAlign w:val="center"/>
            <w:shd w:fill="F1F5F9"/>
          </w:tcPr>
          <w:p>
            <w:pPr>
              <w:spacing w:after="0"/>
            </w:pPr>
            <w:r/>
            <w:r>
              <w:rPr>
                <w:rFonts w:ascii="Aptos" w:hAnsi="Aptos"/>
                <w:b w:val="0"/>
                <w:sz w:val="18"/>
              </w:rPr>
              <w:t>Consistent sans-serif font; KPI values larger than titles.</w:t>
            </w:r>
          </w:p>
        </w:tc>
      </w:tr>
      <w:tr>
        <w:tc>
          <w:tcPr>
            <w:tcW w:type="dxa" w:w="4968"/>
            <w:vAlign w:val="center"/>
          </w:tcPr>
          <w:p>
            <w:pPr>
              <w:spacing w:after="0"/>
            </w:pPr>
            <w:r/>
            <w:r>
              <w:rPr>
                <w:rFonts w:ascii="Aptos" w:hAnsi="Aptos"/>
                <w:b w:val="0"/>
                <w:sz w:val="18"/>
              </w:rPr>
              <w:t>Navigation</w:t>
            </w:r>
          </w:p>
        </w:tc>
        <w:tc>
          <w:tcPr>
            <w:tcW w:type="dxa" w:w="4968"/>
            <w:vAlign w:val="center"/>
          </w:tcPr>
          <w:p>
            <w:pPr>
              <w:spacing w:after="0"/>
            </w:pPr>
            <w:r/>
            <w:r>
              <w:rPr>
                <w:rFonts w:ascii="Aptos" w:hAnsi="Aptos"/>
                <w:b w:val="0"/>
                <w:sz w:val="18"/>
              </w:rPr>
              <w:t>Consistent buttons/icons for the four report pages.</w:t>
            </w:r>
          </w:p>
        </w:tc>
      </w:tr>
    </w:tbl>
    <w:p>
      <w:pPr>
        <w:spacing w:after="20"/>
      </w:pPr>
    </w:p>
    <w:p>
      <w:pPr>
        <w:pStyle w:val="Heading1"/>
      </w:pPr>
      <w:r>
        <w:t>9. Interactivity and Filtering</w:t>
      </w:r>
    </w:p>
    <w:p>
      <w:pPr>
        <w:pStyle w:val="ListBullet"/>
      </w:pPr>
      <w:r>
        <w:t>Add slicers for Created Date, Priority, Status, Category, Department, Channel, and Technician where useful.</w:t>
      </w:r>
    </w:p>
    <w:p>
      <w:pPr>
        <w:pStyle w:val="ListBullet"/>
      </w:pPr>
      <w:r>
        <w:t>Use Edit interactions to control which visuals respond to each slicer.</w:t>
      </w:r>
    </w:p>
    <w:p>
      <w:pPr>
        <w:pStyle w:val="ListBullet"/>
      </w:pPr>
      <w:r>
        <w:t>Use informative tooltips for ticket counts, percentages, and SLA definitions.</w:t>
      </w:r>
    </w:p>
    <w:p>
      <w:pPr>
        <w:pStyle w:val="ListBullet"/>
      </w:pPr>
      <w:r>
        <w:t>Consider drill-through pages for technician or category details.</w:t>
      </w:r>
    </w:p>
    <w:p>
      <w:pPr>
        <w:pStyle w:val="ListBullet"/>
      </w:pPr>
      <w:r>
        <w:t>Add a clear-filters button if users frequently change several slicers.</w:t>
      </w:r>
    </w:p>
    <w:p>
      <w:pPr>
        <w:pStyle w:val="Heading1"/>
      </w:pPr>
      <w:r>
        <w:t>10. Validation Checks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4243A"/>
          </w:tcPr>
          <w:p>
            <w:pPr>
              <w:spacing w:after="0"/>
            </w:pPr>
            <w:r/>
            <w:r>
              <w:rPr>
                <w:rFonts w:ascii="Aptos" w:hAnsi="Aptos"/>
                <w:b/>
                <w:color w:val="FFFFFF"/>
                <w:sz w:val="18"/>
              </w:rPr>
              <w:t>Check</w:t>
            </w:r>
          </w:p>
        </w:tc>
        <w:tc>
          <w:tcPr>
            <w:tcW w:type="dxa" w:w="4968"/>
            <w:vAlign w:val="center"/>
            <w:shd w:fill="14243A"/>
          </w:tcPr>
          <w:p>
            <w:pPr>
              <w:spacing w:after="0"/>
            </w:pPr>
            <w:r/>
            <w:r>
              <w:rPr>
                <w:rFonts w:ascii="Aptos" w:hAnsi="Aptos"/>
                <w:b/>
                <w:color w:val="FFFFFF"/>
                <w:sz w:val="18"/>
              </w:rPr>
              <w:t>Expected result for supplied extract</w:t>
            </w:r>
          </w:p>
        </w:tc>
      </w:tr>
      <w:tr>
        <w:tc>
          <w:tcPr>
            <w:tcW w:type="dxa" w:w="4968"/>
            <w:vAlign w:val="center"/>
          </w:tcPr>
          <w:p>
            <w:pPr>
              <w:spacing w:after="0"/>
            </w:pPr>
            <w:r/>
            <w:r>
              <w:rPr>
                <w:rFonts w:ascii="Aptos" w:hAnsi="Aptos"/>
                <w:b w:val="0"/>
                <w:sz w:val="18"/>
              </w:rPr>
              <w:t>Total tickets</w:t>
            </w:r>
          </w:p>
        </w:tc>
        <w:tc>
          <w:tcPr>
            <w:tcW w:type="dxa" w:w="4968"/>
            <w:vAlign w:val="center"/>
          </w:tcPr>
          <w:p>
            <w:pPr>
              <w:spacing w:after="0"/>
            </w:pPr>
            <w:r/>
            <w:r>
              <w:rPr>
                <w:rFonts w:ascii="Aptos" w:hAnsi="Aptos"/>
                <w:b w:val="0"/>
                <w:sz w:val="18"/>
              </w:rPr>
              <w:t>600</w:t>
            </w:r>
          </w:p>
        </w:tc>
      </w:tr>
      <w:tr>
        <w:tc>
          <w:tcPr>
            <w:tcW w:type="dxa" w:w="4968"/>
            <w:vAlign w:val="center"/>
            <w:shd w:fill="F1F5F9"/>
          </w:tcPr>
          <w:p>
            <w:pPr>
              <w:spacing w:after="0"/>
            </w:pPr>
            <w:r/>
            <w:r>
              <w:rPr>
                <w:rFonts w:ascii="Aptos" w:hAnsi="Aptos"/>
                <w:b w:val="0"/>
                <w:sz w:val="18"/>
              </w:rPr>
              <w:t>Resolved tickets</w:t>
            </w:r>
          </w:p>
        </w:tc>
        <w:tc>
          <w:tcPr>
            <w:tcW w:type="dxa" w:w="4968"/>
            <w:vAlign w:val="center"/>
            <w:shd w:fill="F1F5F9"/>
          </w:tcPr>
          <w:p>
            <w:pPr>
              <w:spacing w:after="0"/>
            </w:pPr>
            <w:r/>
            <w:r>
              <w:rPr>
                <w:rFonts w:ascii="Aptos" w:hAnsi="Aptos"/>
                <w:b w:val="0"/>
                <w:sz w:val="18"/>
              </w:rPr>
              <w:t>383</w:t>
            </w:r>
          </w:p>
        </w:tc>
      </w:tr>
      <w:tr>
        <w:tc>
          <w:tcPr>
            <w:tcW w:type="dxa" w:w="4968"/>
            <w:vAlign w:val="center"/>
          </w:tcPr>
          <w:p>
            <w:pPr>
              <w:spacing w:after="0"/>
            </w:pPr>
            <w:r/>
            <w:r>
              <w:rPr>
                <w:rFonts w:ascii="Aptos" w:hAnsi="Aptos"/>
                <w:b w:val="0"/>
                <w:sz w:val="18"/>
              </w:rPr>
              <w:t>Unresolved tickets (Status is not Resolved)</w:t>
            </w:r>
          </w:p>
        </w:tc>
        <w:tc>
          <w:tcPr>
            <w:tcW w:type="dxa" w:w="4968"/>
            <w:vAlign w:val="center"/>
          </w:tcPr>
          <w:p>
            <w:pPr>
              <w:spacing w:after="0"/>
            </w:pPr>
            <w:r/>
            <w:r>
              <w:rPr>
                <w:rFonts w:ascii="Aptos" w:hAnsi="Aptos"/>
                <w:b w:val="0"/>
                <w:sz w:val="18"/>
              </w:rPr>
              <w:t>217</w:t>
            </w:r>
          </w:p>
        </w:tc>
      </w:tr>
      <w:tr>
        <w:tc>
          <w:tcPr>
            <w:tcW w:type="dxa" w:w="4968"/>
            <w:vAlign w:val="center"/>
            <w:shd w:fill="F1F5F9"/>
          </w:tcPr>
          <w:p>
            <w:pPr>
              <w:spacing w:after="0"/>
            </w:pPr>
            <w:r/>
            <w:r>
              <w:rPr>
                <w:rFonts w:ascii="Aptos" w:hAnsi="Aptos"/>
                <w:b w:val="0"/>
                <w:sz w:val="18"/>
              </w:rPr>
              <w:t>Resolution rate</w:t>
            </w:r>
          </w:p>
        </w:tc>
        <w:tc>
          <w:tcPr>
            <w:tcW w:type="dxa" w:w="4968"/>
            <w:vAlign w:val="center"/>
            <w:shd w:fill="F1F5F9"/>
          </w:tcPr>
          <w:p>
            <w:pPr>
              <w:spacing w:after="0"/>
            </w:pPr>
            <w:r/>
            <w:r>
              <w:rPr>
                <w:rFonts w:ascii="Aptos" w:hAnsi="Aptos"/>
                <w:b w:val="0"/>
                <w:sz w:val="18"/>
              </w:rPr>
              <w:t>About 63.8%</w:t>
            </w:r>
          </w:p>
        </w:tc>
      </w:tr>
      <w:tr>
        <w:tc>
          <w:tcPr>
            <w:tcW w:type="dxa" w:w="4968"/>
            <w:vAlign w:val="center"/>
          </w:tcPr>
          <w:p>
            <w:pPr>
              <w:spacing w:after="0"/>
            </w:pPr>
            <w:r/>
            <w:r>
              <w:rPr>
                <w:rFonts w:ascii="Aptos" w:hAnsi="Aptos"/>
                <w:b w:val="0"/>
                <w:sz w:val="18"/>
              </w:rPr>
              <w:t>Tickets with recorded Resolution Hours</w:t>
            </w:r>
          </w:p>
        </w:tc>
        <w:tc>
          <w:tcPr>
            <w:tcW w:type="dxa" w:w="4968"/>
            <w:vAlign w:val="center"/>
          </w:tcPr>
          <w:p>
            <w:pPr>
              <w:spacing w:after="0"/>
            </w:pPr>
            <w:r/>
            <w:r>
              <w:rPr>
                <w:rFonts w:ascii="Aptos" w:hAnsi="Aptos"/>
                <w:b w:val="0"/>
                <w:sz w:val="18"/>
              </w:rPr>
              <w:t>383</w:t>
            </w:r>
          </w:p>
        </w:tc>
      </w:tr>
      <w:tr>
        <w:tc>
          <w:tcPr>
            <w:tcW w:type="dxa" w:w="4968"/>
            <w:vAlign w:val="center"/>
            <w:shd w:fill="F1F5F9"/>
          </w:tcPr>
          <w:p>
            <w:pPr>
              <w:spacing w:after="0"/>
            </w:pPr>
            <w:r/>
            <w:r>
              <w:rPr>
                <w:rFonts w:ascii="Aptos" w:hAnsi="Aptos"/>
                <w:b w:val="0"/>
                <w:sz w:val="18"/>
              </w:rPr>
              <w:t>Average recorded Resolution Hours</w:t>
            </w:r>
          </w:p>
        </w:tc>
        <w:tc>
          <w:tcPr>
            <w:tcW w:type="dxa" w:w="4968"/>
            <w:vAlign w:val="center"/>
            <w:shd w:fill="F1F5F9"/>
          </w:tcPr>
          <w:p>
            <w:pPr>
              <w:spacing w:after="0"/>
            </w:pPr>
            <w:r/>
            <w:r>
              <w:rPr>
                <w:rFonts w:ascii="Aptos" w:hAnsi="Aptos"/>
                <w:b w:val="0"/>
                <w:sz w:val="18"/>
              </w:rPr>
              <w:t>About 10.05 hours</w:t>
            </w:r>
          </w:p>
        </w:tc>
      </w:tr>
      <w:tr>
        <w:tc>
          <w:tcPr>
            <w:tcW w:type="dxa" w:w="4968"/>
            <w:vAlign w:val="center"/>
          </w:tcPr>
          <w:p>
            <w:pPr>
              <w:spacing w:after="0"/>
            </w:pPr>
            <w:r/>
            <w:r>
              <w:rPr>
                <w:rFonts w:ascii="Aptos" w:hAnsi="Aptos"/>
                <w:b w:val="0"/>
                <w:sz w:val="18"/>
              </w:rPr>
              <w:t>SLA Outcome = Met</w:t>
            </w:r>
          </w:p>
        </w:tc>
        <w:tc>
          <w:tcPr>
            <w:tcW w:type="dxa" w:w="4968"/>
            <w:vAlign w:val="center"/>
          </w:tcPr>
          <w:p>
            <w:pPr>
              <w:spacing w:after="0"/>
            </w:pPr>
            <w:r/>
            <w:r>
              <w:rPr>
                <w:rFonts w:ascii="Aptos" w:hAnsi="Aptos"/>
                <w:b w:val="0"/>
                <w:sz w:val="18"/>
              </w:rPr>
              <w:t>314</w:t>
            </w:r>
          </w:p>
        </w:tc>
      </w:tr>
      <w:tr>
        <w:tc>
          <w:tcPr>
            <w:tcW w:type="dxa" w:w="4968"/>
            <w:vAlign w:val="center"/>
            <w:shd w:fill="F1F5F9"/>
          </w:tcPr>
          <w:p>
            <w:pPr>
              <w:spacing w:after="0"/>
            </w:pPr>
            <w:r/>
            <w:r>
              <w:rPr>
                <w:rFonts w:ascii="Aptos" w:hAnsi="Aptos"/>
                <w:b w:val="0"/>
                <w:sz w:val="18"/>
              </w:rPr>
              <w:t>SLA Outcome = Breached</w:t>
            </w:r>
          </w:p>
        </w:tc>
        <w:tc>
          <w:tcPr>
            <w:tcW w:type="dxa" w:w="4968"/>
            <w:vAlign w:val="center"/>
            <w:shd w:fill="F1F5F9"/>
          </w:tcPr>
          <w:p>
            <w:pPr>
              <w:spacing w:after="0"/>
            </w:pPr>
            <w:r/>
            <w:r>
              <w:rPr>
                <w:rFonts w:ascii="Aptos" w:hAnsi="Aptos"/>
                <w:b w:val="0"/>
                <w:sz w:val="18"/>
              </w:rPr>
              <w:t>69</w:t>
            </w:r>
          </w:p>
        </w:tc>
      </w:tr>
      <w:tr>
        <w:tc>
          <w:tcPr>
            <w:tcW w:type="dxa" w:w="4968"/>
            <w:vAlign w:val="center"/>
          </w:tcPr>
          <w:p>
            <w:pPr>
              <w:spacing w:after="0"/>
            </w:pPr>
            <w:r/>
            <w:r>
              <w:rPr>
                <w:rFonts w:ascii="Aptos" w:hAnsi="Aptos"/>
                <w:b w:val="0"/>
                <w:sz w:val="18"/>
              </w:rPr>
              <w:t>SLA Outcome = Not Yet Resolved</w:t>
            </w:r>
          </w:p>
        </w:tc>
        <w:tc>
          <w:tcPr>
            <w:tcW w:type="dxa" w:w="4968"/>
            <w:vAlign w:val="center"/>
          </w:tcPr>
          <w:p>
            <w:pPr>
              <w:spacing w:after="0"/>
            </w:pPr>
            <w:r/>
            <w:r>
              <w:rPr>
                <w:rFonts w:ascii="Aptos" w:hAnsi="Aptos"/>
                <w:b w:val="0"/>
                <w:sz w:val="18"/>
              </w:rPr>
              <w:t>217</w:t>
            </w:r>
          </w:p>
        </w:tc>
      </w:tr>
      <w:tr>
        <w:tc>
          <w:tcPr>
            <w:tcW w:type="dxa" w:w="4968"/>
            <w:vAlign w:val="center"/>
            <w:shd w:fill="F1F5F9"/>
          </w:tcPr>
          <w:p>
            <w:pPr>
              <w:spacing w:after="0"/>
            </w:pPr>
            <w:r/>
            <w:r>
              <w:rPr>
                <w:rFonts w:ascii="Aptos" w:hAnsi="Aptos"/>
                <w:b w:val="0"/>
                <w:sz w:val="18"/>
              </w:rPr>
              <w:t>SLA compliance among Met + Breached outcomes</w:t>
            </w:r>
          </w:p>
        </w:tc>
        <w:tc>
          <w:tcPr>
            <w:tcW w:type="dxa" w:w="4968"/>
            <w:vAlign w:val="center"/>
            <w:shd w:fill="F1F5F9"/>
          </w:tcPr>
          <w:p>
            <w:pPr>
              <w:spacing w:after="0"/>
            </w:pPr>
            <w:r/>
            <w:r>
              <w:rPr>
                <w:rFonts w:ascii="Aptos" w:hAnsi="Aptos"/>
                <w:b w:val="0"/>
                <w:sz w:val="18"/>
              </w:rPr>
              <w:t>About 82.0% (314 / (314 + 69))</w:t>
            </w:r>
          </w:p>
        </w:tc>
      </w:tr>
    </w:tbl>
    <w:p>
      <w:pPr>
        <w:spacing w:after="20"/>
      </w:pPr>
    </w:p>
    <w:p>
      <w:r>
        <w:t>These are validation checks for the dataset extract used to prepare this document. Report values may differ when slicers or filters are active.</w:t>
      </w:r>
    </w:p>
    <w:p>
      <w:pPr>
        <w:pStyle w:val="Heading1"/>
      </w:pPr>
      <w:r>
        <w:t>11. Refresh and Maintenance</w:t>
      </w:r>
    </w:p>
    <w:p>
      <w:pPr>
        <w:pStyle w:val="ListBullet"/>
      </w:pPr>
      <w:r>
        <w:t>Keep the source CSV in a stable folder and avoid renaming columns without updating the model.</w:t>
      </w:r>
    </w:p>
    <w:p>
      <w:pPr>
        <w:pStyle w:val="ListBullet"/>
      </w:pPr>
      <w:r>
        <w:t>After replacing or appending data, refresh and verify row counts and key measures.</w:t>
      </w:r>
    </w:p>
    <w:p>
      <w:pPr>
        <w:pStyle w:val="ListBullet"/>
      </w:pPr>
      <w:r>
        <w:t>Review data types, blank resolution values, and new category/status labels after each refresh.</w:t>
      </w:r>
    </w:p>
    <w:p>
      <w:pPr>
        <w:pStyle w:val="ListBullet"/>
      </w:pPr>
      <w:r>
        <w:t>If publishing to Power BI Service, configure credentials and a gateway if required by the source location.</w:t>
      </w:r>
    </w:p>
    <w:p>
      <w:pPr>
        <w:pStyle w:val="ListBullet"/>
      </w:pPr>
      <w:r>
        <w:t>Document changes to SLA rules or the definition of unresolved tickets.</w:t>
      </w:r>
    </w:p>
    <w:p>
      <w:pPr>
        <w:pStyle w:val="Heading1"/>
      </w:pPr>
      <w:r>
        <w:t>12. Future Enhancement: Interactive AI Helpdesk Bot</w:t>
      </w:r>
    </w:p>
    <w:p>
      <w:r>
        <w:t>An AI bot is a separate enhancement and is not automatically included in a standard Power BI report. A possible Microsoft-oriented design uses Power Apps for the chat and ticket submission interface, Power Automate for workflows, Microsoft Lists or SharePoint as a writable ticket store, and an approved AI service for natural-language answers. Ticket creation and status lookup require a writable data source and appropriate permissions.</w:t>
      </w:r>
    </w:p>
    <w:p>
      <w:r>
        <w:t>Suggested capabilities include creating a ticket, validating required fields, generating a unique ticket ID, looking up ticket status, summarizing trends, and providing safe troubleshooting guidance. Private ticket details should only be shown to authorized users.</w:t>
      </w:r>
    </w:p>
    <w:p>
      <w:pPr>
        <w:pStyle w:val="Heading1"/>
      </w:pPr>
      <w:r>
        <w:t>13. Conclusion</w:t>
      </w:r>
    </w:p>
    <w:p>
      <w:r>
        <w:t>The IT Helpdesk Analytics Dashboard provides a structured view of ticket demand, status, technician workload, resolution speed, and SLA outcomes. Consistent definitions, correct date sorting, careful handling of unresolved tickets, and validation after refresh help keep the dashboard reliable and useful.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IT Helpdesk Dashboard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IT HELPDESK ANALYTICS  |  POWER BI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