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FE0DC" w14:textId="0C34C2A5" w:rsidR="00033CF6" w:rsidRDefault="00033CF6" w:rsidP="00806FF8">
      <w:pPr>
        <w:rPr>
          <w:rFonts w:ascii="Times New Roman" w:hAnsi="Times New Roman" w:cs="Times New Roman"/>
          <w:b/>
          <w:bCs/>
        </w:rPr>
      </w:pPr>
      <w:r>
        <w:rPr>
          <w:rFonts w:ascii="Times New Roman" w:hAnsi="Times New Roman" w:cs="Times New Roman"/>
          <w:b/>
          <w:bCs/>
        </w:rPr>
        <w:t xml:space="preserve">                                                                                                                                                          </w:t>
      </w:r>
      <w:r w:rsidR="00562F3C">
        <w:rPr>
          <w:rFonts w:ascii="Times New Roman" w:hAnsi="Times New Roman" w:cs="Times New Roman"/>
          <w:b/>
          <w:bCs/>
        </w:rPr>
        <w:t>1</w:t>
      </w:r>
    </w:p>
    <w:p w14:paraId="1BE35F25" w14:textId="1D402D14" w:rsidR="00806FF8" w:rsidRPr="00806FF8" w:rsidRDefault="00657177" w:rsidP="00806FF8">
      <w:pPr>
        <w:rPr>
          <w:rFonts w:ascii="Times New Roman" w:hAnsi="Times New Roman" w:cs="Times New Roman"/>
        </w:rPr>
      </w:pPr>
      <w:r>
        <w:rPr>
          <w:rFonts w:ascii="Times New Roman" w:hAnsi="Times New Roman" w:cs="Times New Roman"/>
          <w:b/>
          <w:bCs/>
        </w:rPr>
        <w:t xml:space="preserve"> </w:t>
      </w:r>
      <w:r w:rsidR="00562F3C">
        <w:rPr>
          <w:rFonts w:ascii="Times New Roman" w:hAnsi="Times New Roman" w:cs="Times New Roman"/>
          <w:b/>
          <w:bCs/>
        </w:rPr>
        <w:t xml:space="preserve">                                                        </w:t>
      </w:r>
      <w:r>
        <w:rPr>
          <w:rFonts w:ascii="Times New Roman" w:hAnsi="Times New Roman" w:cs="Times New Roman"/>
          <w:b/>
          <w:bCs/>
        </w:rPr>
        <w:t xml:space="preserve"> </w:t>
      </w:r>
      <w:r w:rsidR="00806FF8" w:rsidRPr="00806FF8">
        <w:rPr>
          <w:rFonts w:ascii="Times New Roman" w:hAnsi="Times New Roman" w:cs="Times New Roman"/>
          <w:b/>
          <w:bCs/>
        </w:rPr>
        <w:t>Introduction</w:t>
      </w:r>
    </w:p>
    <w:p w14:paraId="3A8076E4" w14:textId="77777777" w:rsidR="00960193" w:rsidRDefault="00960193" w:rsidP="00960193">
      <w:pPr>
        <w:pStyle w:val="ListParagraph"/>
        <w:rPr>
          <w:rFonts w:ascii="Times New Roman" w:hAnsi="Times New Roman" w:cs="Times New Roman"/>
        </w:rPr>
      </w:pPr>
      <w:r w:rsidRPr="00960193">
        <w:rPr>
          <w:rFonts w:ascii="Times New Roman" w:hAnsi="Times New Roman" w:cs="Times New Roman"/>
        </w:rPr>
        <w:t>Major Depressive Disorder (MDD), coded F32 in ICD-10, is a prevalent and disabling mental illness characterized by persistent sadness, fatigue, sleep issues, and cognitive impairments. If untreated, it can lead to severe functional decline or suicide.</w:t>
      </w:r>
    </w:p>
    <w:p w14:paraId="04906C88" w14:textId="77777777" w:rsidR="00960193" w:rsidRPr="00960193" w:rsidRDefault="00960193" w:rsidP="00960193">
      <w:pPr>
        <w:pStyle w:val="ListParagraph"/>
        <w:rPr>
          <w:rFonts w:ascii="Times New Roman" w:hAnsi="Times New Roman" w:cs="Times New Roman"/>
        </w:rPr>
      </w:pPr>
    </w:p>
    <w:p w14:paraId="6D5DDA0C" w14:textId="77777777" w:rsidR="00960193" w:rsidRPr="00960193" w:rsidRDefault="00960193" w:rsidP="00960193">
      <w:pPr>
        <w:pStyle w:val="ListParagraph"/>
        <w:rPr>
          <w:rFonts w:ascii="Times New Roman" w:hAnsi="Times New Roman" w:cs="Times New Roman"/>
          <w:b/>
          <w:bCs/>
        </w:rPr>
      </w:pPr>
      <w:r w:rsidRPr="00960193">
        <w:rPr>
          <w:rFonts w:ascii="Times New Roman" w:hAnsi="Times New Roman" w:cs="Times New Roman"/>
          <w:b/>
          <w:bCs/>
        </w:rPr>
        <w:t>Public Health Significance</w:t>
      </w:r>
    </w:p>
    <w:p w14:paraId="4482FAAA" w14:textId="77777777" w:rsidR="00960193" w:rsidRDefault="00960193" w:rsidP="00960193">
      <w:pPr>
        <w:pStyle w:val="ListParagraph"/>
        <w:rPr>
          <w:rFonts w:ascii="Times New Roman" w:hAnsi="Times New Roman" w:cs="Times New Roman"/>
        </w:rPr>
      </w:pPr>
      <w:r w:rsidRPr="00960193">
        <w:rPr>
          <w:rFonts w:ascii="Times New Roman" w:hAnsi="Times New Roman" w:cs="Times New Roman"/>
        </w:rPr>
        <w:t>Globally, over 280 million people suffer from depression [1]. In the U.S., young adults are disproportionately affected, with 17% of those aged 18–25 reporting a major depressive episode in the past year—the highest among all age groups [2].</w:t>
      </w:r>
    </w:p>
    <w:p w14:paraId="2643772F" w14:textId="77777777" w:rsidR="00960193" w:rsidRPr="00960193" w:rsidRDefault="00960193" w:rsidP="00960193">
      <w:pPr>
        <w:pStyle w:val="ListParagraph"/>
        <w:rPr>
          <w:rFonts w:ascii="Times New Roman" w:hAnsi="Times New Roman" w:cs="Times New Roman"/>
        </w:rPr>
      </w:pPr>
    </w:p>
    <w:p w14:paraId="6FD732C8" w14:textId="77777777" w:rsidR="00960193" w:rsidRPr="00960193" w:rsidRDefault="00960193" w:rsidP="00960193">
      <w:pPr>
        <w:pStyle w:val="ListParagraph"/>
        <w:rPr>
          <w:rFonts w:ascii="Times New Roman" w:hAnsi="Times New Roman" w:cs="Times New Roman"/>
          <w:b/>
          <w:bCs/>
        </w:rPr>
      </w:pPr>
      <w:r w:rsidRPr="00960193">
        <w:rPr>
          <w:rFonts w:ascii="Times New Roman" w:hAnsi="Times New Roman" w:cs="Times New Roman"/>
          <w:b/>
          <w:bCs/>
        </w:rPr>
        <w:t>Causes and Treatments</w:t>
      </w:r>
    </w:p>
    <w:p w14:paraId="2DC4197E" w14:textId="77777777" w:rsidR="00960193" w:rsidRDefault="00960193" w:rsidP="00960193">
      <w:pPr>
        <w:pStyle w:val="ListParagraph"/>
        <w:rPr>
          <w:rFonts w:ascii="Times New Roman" w:hAnsi="Times New Roman" w:cs="Times New Roman"/>
        </w:rPr>
      </w:pPr>
      <w:r w:rsidRPr="00960193">
        <w:rPr>
          <w:rFonts w:ascii="Times New Roman" w:hAnsi="Times New Roman" w:cs="Times New Roman"/>
        </w:rPr>
        <w:t>MDD arises from biological, psychological, and environmental factors such as genetics, neurotransmitter imbalances, trauma, and social isolation [3]. Common treatments include psychotherapy (e.g., CBT) and medications like SSRIs and SNRIs [4].</w:t>
      </w:r>
    </w:p>
    <w:p w14:paraId="04D0AB51" w14:textId="77777777" w:rsidR="00960193" w:rsidRPr="00960193" w:rsidRDefault="00960193" w:rsidP="00960193">
      <w:pPr>
        <w:pStyle w:val="ListParagraph"/>
        <w:rPr>
          <w:rFonts w:ascii="Times New Roman" w:hAnsi="Times New Roman" w:cs="Times New Roman"/>
        </w:rPr>
      </w:pPr>
    </w:p>
    <w:p w14:paraId="5712D3E9" w14:textId="77777777" w:rsidR="00960193" w:rsidRPr="00960193" w:rsidRDefault="00960193" w:rsidP="00960193">
      <w:pPr>
        <w:pStyle w:val="ListParagraph"/>
        <w:rPr>
          <w:rFonts w:ascii="Times New Roman" w:hAnsi="Times New Roman" w:cs="Times New Roman"/>
          <w:b/>
          <w:bCs/>
        </w:rPr>
      </w:pPr>
      <w:r w:rsidRPr="00960193">
        <w:rPr>
          <w:rFonts w:ascii="Times New Roman" w:hAnsi="Times New Roman" w:cs="Times New Roman"/>
          <w:b/>
          <w:bCs/>
        </w:rPr>
        <w:t>Demographic and Structural Influences</w:t>
      </w:r>
    </w:p>
    <w:p w14:paraId="08586305" w14:textId="77777777" w:rsidR="00960193" w:rsidRDefault="00960193" w:rsidP="00960193">
      <w:pPr>
        <w:pStyle w:val="ListParagraph"/>
        <w:rPr>
          <w:rFonts w:ascii="Times New Roman" w:hAnsi="Times New Roman" w:cs="Times New Roman"/>
        </w:rPr>
      </w:pPr>
      <w:r w:rsidRPr="00960193">
        <w:rPr>
          <w:rFonts w:ascii="Times New Roman" w:hAnsi="Times New Roman" w:cs="Times New Roman"/>
        </w:rPr>
        <w:t>Depression outcomes are shaped by gender, race/ethnicity, income, education, and access to mental health services. These disparities underscore the importance of tailored public health strategies.</w:t>
      </w:r>
    </w:p>
    <w:p w14:paraId="0F7B802B" w14:textId="77777777" w:rsidR="00960193" w:rsidRPr="00960193" w:rsidRDefault="00960193" w:rsidP="00960193">
      <w:pPr>
        <w:pStyle w:val="ListParagraph"/>
        <w:rPr>
          <w:rFonts w:ascii="Times New Roman" w:hAnsi="Times New Roman" w:cs="Times New Roman"/>
        </w:rPr>
      </w:pPr>
    </w:p>
    <w:p w14:paraId="41DB7455" w14:textId="77777777" w:rsidR="00960193" w:rsidRPr="00960193" w:rsidRDefault="00960193" w:rsidP="00960193">
      <w:pPr>
        <w:pStyle w:val="ListParagraph"/>
        <w:rPr>
          <w:rFonts w:ascii="Times New Roman" w:hAnsi="Times New Roman" w:cs="Times New Roman"/>
          <w:b/>
          <w:bCs/>
        </w:rPr>
      </w:pPr>
      <w:r w:rsidRPr="00960193">
        <w:rPr>
          <w:rFonts w:ascii="Times New Roman" w:hAnsi="Times New Roman" w:cs="Times New Roman"/>
          <w:b/>
          <w:bCs/>
        </w:rPr>
        <w:t>Study Dataset and Tools</w:t>
      </w:r>
    </w:p>
    <w:p w14:paraId="1B0ABF97" w14:textId="77777777" w:rsidR="00960193" w:rsidRDefault="00960193" w:rsidP="00960193">
      <w:pPr>
        <w:pStyle w:val="ListParagraph"/>
        <w:rPr>
          <w:rFonts w:ascii="Times New Roman" w:hAnsi="Times New Roman" w:cs="Times New Roman"/>
        </w:rPr>
      </w:pPr>
      <w:r w:rsidRPr="00960193">
        <w:rPr>
          <w:rFonts w:ascii="Times New Roman" w:hAnsi="Times New Roman" w:cs="Times New Roman"/>
        </w:rPr>
        <w:t>This study analyzes depressive episodes in young adults (ages 18–35) using the Medical Expenditure Panel Survey (MEPS). MEPS includes rich demographic and mental health data, including validated tools like PHQ-2 (PHQ242) and K6 (K6SUM42) for psychological distress [5].</w:t>
      </w:r>
    </w:p>
    <w:p w14:paraId="56F7C7AC" w14:textId="77777777" w:rsidR="00960193" w:rsidRPr="00960193" w:rsidRDefault="00960193" w:rsidP="00960193">
      <w:pPr>
        <w:pStyle w:val="ListParagraph"/>
        <w:rPr>
          <w:rFonts w:ascii="Times New Roman" w:hAnsi="Times New Roman" w:cs="Times New Roman"/>
        </w:rPr>
      </w:pPr>
    </w:p>
    <w:p w14:paraId="0664CE1D" w14:textId="56D44BEC" w:rsidR="00960193" w:rsidRPr="00960193" w:rsidRDefault="00960193" w:rsidP="00960193">
      <w:pPr>
        <w:pStyle w:val="ListParagraph"/>
        <w:rPr>
          <w:rFonts w:ascii="Times New Roman" w:hAnsi="Times New Roman" w:cs="Times New Roman"/>
          <w:b/>
          <w:bCs/>
        </w:rPr>
      </w:pPr>
      <w:r w:rsidRPr="00960193">
        <w:rPr>
          <w:rFonts w:ascii="Times New Roman" w:hAnsi="Times New Roman" w:cs="Times New Roman"/>
          <w:b/>
          <w:bCs/>
        </w:rPr>
        <w:t xml:space="preserve">Research </w:t>
      </w:r>
      <w:r>
        <w:rPr>
          <w:rFonts w:ascii="Times New Roman" w:hAnsi="Times New Roman" w:cs="Times New Roman"/>
          <w:b/>
          <w:bCs/>
        </w:rPr>
        <w:t xml:space="preserve">questions: </w:t>
      </w:r>
    </w:p>
    <w:p w14:paraId="6443E23C" w14:textId="77777777" w:rsidR="00960193" w:rsidRPr="00960193" w:rsidRDefault="00960193" w:rsidP="00960193">
      <w:pPr>
        <w:pStyle w:val="ListParagraph"/>
        <w:rPr>
          <w:rFonts w:ascii="Times New Roman" w:hAnsi="Times New Roman" w:cs="Times New Roman"/>
        </w:rPr>
      </w:pPr>
      <w:r w:rsidRPr="00960193">
        <w:rPr>
          <w:rFonts w:ascii="Times New Roman" w:hAnsi="Times New Roman" w:cs="Times New Roman"/>
        </w:rPr>
        <w:t>This study explores four main questions:</w:t>
      </w:r>
    </w:p>
    <w:p w14:paraId="1B4AFE60" w14:textId="77777777" w:rsidR="00960193" w:rsidRPr="00960193" w:rsidRDefault="00960193" w:rsidP="00960193">
      <w:pPr>
        <w:pStyle w:val="ListParagraph"/>
        <w:numPr>
          <w:ilvl w:val="0"/>
          <w:numId w:val="22"/>
        </w:numPr>
        <w:rPr>
          <w:rFonts w:ascii="Times New Roman" w:hAnsi="Times New Roman" w:cs="Times New Roman"/>
        </w:rPr>
      </w:pPr>
      <w:r w:rsidRPr="00960193">
        <w:rPr>
          <w:rFonts w:ascii="Times New Roman" w:hAnsi="Times New Roman" w:cs="Times New Roman"/>
        </w:rPr>
        <w:t>How does the prevalence of depressive episodes vary by U.S. region and gender?</w:t>
      </w:r>
    </w:p>
    <w:p w14:paraId="270D75E7" w14:textId="77777777" w:rsidR="00960193" w:rsidRPr="00960193" w:rsidRDefault="00960193" w:rsidP="00960193">
      <w:pPr>
        <w:pStyle w:val="ListParagraph"/>
        <w:numPr>
          <w:ilvl w:val="0"/>
          <w:numId w:val="22"/>
        </w:numPr>
        <w:rPr>
          <w:rFonts w:ascii="Times New Roman" w:hAnsi="Times New Roman" w:cs="Times New Roman"/>
        </w:rPr>
      </w:pPr>
      <w:r w:rsidRPr="00960193">
        <w:rPr>
          <w:rFonts w:ascii="Times New Roman" w:hAnsi="Times New Roman" w:cs="Times New Roman"/>
        </w:rPr>
        <w:t>How do PHQ-2 and K6 scores trend over time in depressed young adults?</w:t>
      </w:r>
    </w:p>
    <w:p w14:paraId="4A70EE44" w14:textId="77777777" w:rsidR="00960193" w:rsidRPr="00960193" w:rsidRDefault="00960193" w:rsidP="00960193">
      <w:pPr>
        <w:pStyle w:val="ListParagraph"/>
        <w:numPr>
          <w:ilvl w:val="0"/>
          <w:numId w:val="22"/>
        </w:numPr>
        <w:rPr>
          <w:rFonts w:ascii="Times New Roman" w:hAnsi="Times New Roman" w:cs="Times New Roman"/>
        </w:rPr>
      </w:pPr>
      <w:r w:rsidRPr="00960193">
        <w:rPr>
          <w:rFonts w:ascii="Times New Roman" w:hAnsi="Times New Roman" w:cs="Times New Roman"/>
        </w:rPr>
        <w:t>What role do socioeconomic factors (income, employment) play in depression rates?</w:t>
      </w:r>
    </w:p>
    <w:p w14:paraId="69718E40" w14:textId="77777777" w:rsidR="00960193" w:rsidRPr="00960193" w:rsidRDefault="00960193" w:rsidP="00960193">
      <w:pPr>
        <w:pStyle w:val="ListParagraph"/>
        <w:numPr>
          <w:ilvl w:val="0"/>
          <w:numId w:val="22"/>
        </w:numPr>
        <w:rPr>
          <w:rFonts w:ascii="Times New Roman" w:hAnsi="Times New Roman" w:cs="Times New Roman"/>
        </w:rPr>
      </w:pPr>
      <w:r w:rsidRPr="00960193">
        <w:rPr>
          <w:rFonts w:ascii="Times New Roman" w:hAnsi="Times New Roman" w:cs="Times New Roman"/>
        </w:rPr>
        <w:t>How does depression prevalence differ across racial and ethnic groups?</w:t>
      </w:r>
    </w:p>
    <w:p w14:paraId="7383DC2B" w14:textId="1DA62082" w:rsidR="00451BB2" w:rsidRDefault="00960193" w:rsidP="00AE05F7">
      <w:pPr>
        <w:pStyle w:val="ListParagraph"/>
        <w:rPr>
          <w:rFonts w:ascii="Times New Roman" w:hAnsi="Times New Roman" w:cs="Times New Roman"/>
        </w:rPr>
      </w:pPr>
      <w:r w:rsidRPr="00960193">
        <w:rPr>
          <w:rFonts w:ascii="Times New Roman" w:hAnsi="Times New Roman" w:cs="Times New Roman"/>
        </w:rPr>
        <w:t>By addressing these questions, the study aims to uncover patterns that inform targeted interventions and equity-driven mental health policies.</w:t>
      </w:r>
    </w:p>
    <w:p w14:paraId="0E368D77" w14:textId="77777777" w:rsidR="00AE05F7" w:rsidRPr="00AE05F7" w:rsidRDefault="00AE05F7" w:rsidP="00AE05F7">
      <w:pPr>
        <w:pStyle w:val="ListParagraph"/>
        <w:rPr>
          <w:rFonts w:ascii="Times New Roman" w:hAnsi="Times New Roman" w:cs="Times New Roman"/>
        </w:rPr>
      </w:pPr>
    </w:p>
    <w:p w14:paraId="22DFA3A5" w14:textId="77777777" w:rsidR="00451BB2" w:rsidRDefault="00451BB2" w:rsidP="00451BB2">
      <w:pPr>
        <w:pStyle w:val="ListParagraph"/>
        <w:rPr>
          <w:rFonts w:ascii="Times New Roman" w:hAnsi="Times New Roman" w:cs="Times New Roman"/>
        </w:rPr>
      </w:pPr>
    </w:p>
    <w:p w14:paraId="3A34BAA4" w14:textId="77777777" w:rsidR="00451BB2" w:rsidRPr="006217B4" w:rsidRDefault="00451BB2" w:rsidP="006217B4">
      <w:pPr>
        <w:rPr>
          <w:rFonts w:ascii="Times New Roman" w:hAnsi="Times New Roman" w:cs="Times New Roman"/>
        </w:rPr>
      </w:pPr>
    </w:p>
    <w:p w14:paraId="1DE4EDFD" w14:textId="5CC1DC68" w:rsidR="00451BB2" w:rsidRPr="006217B4" w:rsidRDefault="006217B4" w:rsidP="006217B4">
      <w:pPr>
        <w:pStyle w:val="ListParagraph"/>
        <w:rPr>
          <w:rFonts w:ascii="Times New Roman" w:hAnsi="Times New Roman" w:cs="Times New Roman"/>
          <w:b/>
          <w:bCs/>
        </w:rPr>
      </w:pPr>
      <w:r>
        <w:rPr>
          <w:rFonts w:ascii="Times New Roman" w:hAnsi="Times New Roman" w:cs="Times New Roman"/>
        </w:rPr>
        <w:lastRenderedPageBreak/>
        <w:t xml:space="preserve">                                                                                                                                              </w:t>
      </w:r>
      <w:r>
        <w:rPr>
          <w:rFonts w:ascii="Times New Roman" w:hAnsi="Times New Roman" w:cs="Times New Roman"/>
          <w:b/>
          <w:bCs/>
        </w:rPr>
        <w:t xml:space="preserve">2 </w:t>
      </w:r>
    </w:p>
    <w:p w14:paraId="55F85F2E" w14:textId="577258B6" w:rsidR="00806FF8" w:rsidRDefault="009C23A0" w:rsidP="00806FF8">
      <w:pPr>
        <w:rPr>
          <w:rFonts w:ascii="Times New Roman" w:hAnsi="Times New Roman" w:cs="Times New Roman"/>
          <w:b/>
          <w:bCs/>
        </w:rPr>
      </w:pPr>
      <w:r>
        <w:rPr>
          <w:rFonts w:ascii="Times New Roman" w:hAnsi="Times New Roman" w:cs="Times New Roman"/>
          <w:b/>
          <w:bCs/>
        </w:rPr>
        <w:t xml:space="preserve">                                                                   </w:t>
      </w:r>
      <w:r w:rsidR="00806FF8" w:rsidRPr="00806FF8">
        <w:rPr>
          <w:rFonts w:ascii="Times New Roman" w:hAnsi="Times New Roman" w:cs="Times New Roman"/>
          <w:b/>
          <w:bCs/>
        </w:rPr>
        <w:t>Related Work</w:t>
      </w:r>
    </w:p>
    <w:p w14:paraId="21D45371" w14:textId="77777777" w:rsidR="00565204" w:rsidRPr="00806FF8" w:rsidRDefault="00565204" w:rsidP="00806FF8">
      <w:pPr>
        <w:rPr>
          <w:rFonts w:ascii="Times New Roman" w:hAnsi="Times New Roman" w:cs="Times New Roman"/>
        </w:rPr>
      </w:pPr>
    </w:p>
    <w:p w14:paraId="2428013E" w14:textId="77777777" w:rsidR="005D28B5" w:rsidRPr="005D28B5" w:rsidRDefault="005D28B5" w:rsidP="005D28B5">
      <w:pPr>
        <w:rPr>
          <w:rFonts w:ascii="Times New Roman" w:hAnsi="Times New Roman" w:cs="Times New Roman"/>
        </w:rPr>
      </w:pPr>
      <w:r w:rsidRPr="005D28B5">
        <w:rPr>
          <w:rFonts w:ascii="Times New Roman" w:hAnsi="Times New Roman" w:cs="Times New Roman"/>
        </w:rPr>
        <w:t>A substantial body of research has investigated the prevalence of depression across demographic groups using large-scale national datasets. Weinberger et al. [6] analyzed U.S. data from 2005 to 2015 and observed increasing rates of depression, especially among women and younger adults. These findings are corroborated by Brody, Pratt, and Hughes [7], who reported that approximately 8.1% of U.S. adults experienced depressive symptoms during a given two-week period. Their analysis highlighted a greater burden among women, individuals living below the poverty threshold, and those lacking post-secondary education.</w:t>
      </w:r>
    </w:p>
    <w:p w14:paraId="2DC467F7" w14:textId="77777777" w:rsidR="005D28B5" w:rsidRPr="005D28B5" w:rsidRDefault="005D28B5" w:rsidP="005D28B5">
      <w:pPr>
        <w:rPr>
          <w:rFonts w:ascii="Times New Roman" w:hAnsi="Times New Roman" w:cs="Times New Roman"/>
        </w:rPr>
      </w:pPr>
      <w:r w:rsidRPr="005D28B5">
        <w:rPr>
          <w:rFonts w:ascii="Times New Roman" w:hAnsi="Times New Roman" w:cs="Times New Roman"/>
        </w:rPr>
        <w:t>Gender-based disparities in depression have been consistently documented, with women experiencing higher rates of depressive symptoms. Kuehner [8] attributes this gap to a complex interplay of hormonal changes, sociocultural expectations, gender-based violence, and disproportionate caregiving responsibilities.</w:t>
      </w:r>
    </w:p>
    <w:p w14:paraId="62D52A4C" w14:textId="77777777" w:rsidR="005D28B5" w:rsidRPr="005D28B5" w:rsidRDefault="005D28B5" w:rsidP="005D28B5">
      <w:pPr>
        <w:rPr>
          <w:rFonts w:ascii="Times New Roman" w:hAnsi="Times New Roman" w:cs="Times New Roman"/>
        </w:rPr>
      </w:pPr>
      <w:r w:rsidRPr="005D28B5">
        <w:rPr>
          <w:rFonts w:ascii="Times New Roman" w:hAnsi="Times New Roman" w:cs="Times New Roman"/>
        </w:rPr>
        <w:t>Socioeconomic status has also been identified as a key determinant of mental health. Lorant et al. [9], in a comprehensive meta-analysis, found that lower income and unemployment were strongly linked to elevated depression risk. More recent work by Davis et al. [10], using the MEPS dataset, reinforced this association—demonstrating that individuals with low income and no insurance coverage are disproportionately affected by poor mental health outcomes.</w:t>
      </w:r>
    </w:p>
    <w:p w14:paraId="26C48EF6" w14:textId="77777777" w:rsidR="005D28B5" w:rsidRPr="005D28B5" w:rsidRDefault="005D28B5" w:rsidP="005D28B5">
      <w:pPr>
        <w:rPr>
          <w:rFonts w:ascii="Times New Roman" w:hAnsi="Times New Roman" w:cs="Times New Roman"/>
        </w:rPr>
      </w:pPr>
      <w:r w:rsidRPr="005D28B5">
        <w:rPr>
          <w:rFonts w:ascii="Times New Roman" w:hAnsi="Times New Roman" w:cs="Times New Roman"/>
        </w:rPr>
        <w:t>Racial and ethnic disparities in depression are multifaceted. While some research suggests that Black and Hispanic populations may underreport depressive symptoms due to stigma [11], other studies indicate these groups may experience elevated levels of untreated or unrecognized depression. Additionally, regional trends in the U.S. show variation in mental health outcomes, with rural areas and Southern states exhibiting higher levels of psychological distress [12].</w:t>
      </w:r>
    </w:p>
    <w:p w14:paraId="5DAD35AD" w14:textId="77777777" w:rsidR="005D28B5" w:rsidRPr="005D28B5" w:rsidRDefault="005D28B5" w:rsidP="005D28B5">
      <w:pPr>
        <w:rPr>
          <w:rFonts w:ascii="Times New Roman" w:hAnsi="Times New Roman" w:cs="Times New Roman"/>
          <w:b/>
          <w:bCs/>
        </w:rPr>
      </w:pPr>
      <w:r w:rsidRPr="005D28B5">
        <w:rPr>
          <w:rFonts w:ascii="Times New Roman" w:hAnsi="Times New Roman" w:cs="Times New Roman"/>
          <w:b/>
          <w:bCs/>
        </w:rPr>
        <w:t>Measurement Tools for Psychological Distress</w:t>
      </w:r>
    </w:p>
    <w:p w14:paraId="58F12488" w14:textId="77777777" w:rsidR="005D28B5" w:rsidRPr="005D28B5" w:rsidRDefault="005D28B5" w:rsidP="005D28B5">
      <w:pPr>
        <w:rPr>
          <w:rFonts w:ascii="Times New Roman" w:hAnsi="Times New Roman" w:cs="Times New Roman"/>
        </w:rPr>
      </w:pPr>
      <w:r w:rsidRPr="005D28B5">
        <w:rPr>
          <w:rFonts w:ascii="Times New Roman" w:hAnsi="Times New Roman" w:cs="Times New Roman"/>
        </w:rPr>
        <w:t>The use of validated screening instruments such as the PHQ-2 and K6 has strengthened mental health surveillance efforts. The Kessler-6 (K6) scale has been shown to be a reliable measure of serious psychological distress in population surveys [13], while the PHQ-2 has been validated as a brief yet effective screener for depressive symptoms [14]. Building upon this foundation, the present study employs both tools to evaluate patterns of psychological distress among young adults and to explore how symptom severity varies by gender, socioeconomic status, and race/ethnicity within the MEPS dataset.</w:t>
      </w:r>
    </w:p>
    <w:p w14:paraId="3D0241D7" w14:textId="77777777" w:rsidR="00991916" w:rsidRDefault="00991916" w:rsidP="00806FF8">
      <w:pPr>
        <w:rPr>
          <w:rFonts w:ascii="Times New Roman" w:hAnsi="Times New Roman" w:cs="Times New Roman"/>
        </w:rPr>
      </w:pPr>
    </w:p>
    <w:p w14:paraId="38266AA0" w14:textId="77777777" w:rsidR="00991916" w:rsidRDefault="00991916" w:rsidP="00806FF8">
      <w:pPr>
        <w:rPr>
          <w:rFonts w:ascii="Times New Roman" w:hAnsi="Times New Roman" w:cs="Times New Roman"/>
        </w:rPr>
      </w:pPr>
    </w:p>
    <w:p w14:paraId="75FC85A9" w14:textId="77777777" w:rsidR="00991916" w:rsidRDefault="00991916" w:rsidP="00806FF8">
      <w:pPr>
        <w:rPr>
          <w:rFonts w:ascii="Times New Roman" w:hAnsi="Times New Roman" w:cs="Times New Roman"/>
        </w:rPr>
      </w:pPr>
    </w:p>
    <w:p w14:paraId="01734E5C" w14:textId="6C79A535" w:rsidR="004504BD" w:rsidRDefault="00562F3C" w:rsidP="00806FF8">
      <w:pPr>
        <w:rPr>
          <w:rFonts w:ascii="Times New Roman" w:hAnsi="Times New Roman" w:cs="Times New Roman"/>
          <w:b/>
          <w:bCs/>
        </w:rPr>
      </w:pPr>
      <w:r>
        <w:rPr>
          <w:rFonts w:ascii="Times New Roman" w:hAnsi="Times New Roman" w:cs="Times New Roman"/>
        </w:rPr>
        <w:lastRenderedPageBreak/>
        <w:t xml:space="preserve">                                                                                                                                                        </w:t>
      </w:r>
    </w:p>
    <w:p w14:paraId="5AAA7854" w14:textId="77777777" w:rsidR="004504BD" w:rsidRDefault="004504BD" w:rsidP="00806FF8">
      <w:pPr>
        <w:rPr>
          <w:rFonts w:ascii="Times New Roman" w:hAnsi="Times New Roman" w:cs="Times New Roman"/>
          <w:b/>
          <w:bCs/>
        </w:rPr>
      </w:pPr>
    </w:p>
    <w:p w14:paraId="1BD5F0F7" w14:textId="42E71F64" w:rsidR="004504BD" w:rsidRDefault="004504BD" w:rsidP="00806FF8">
      <w:pPr>
        <w:rPr>
          <w:rFonts w:ascii="Times New Roman" w:hAnsi="Times New Roman" w:cs="Times New Roman"/>
          <w:b/>
          <w:bCs/>
        </w:rPr>
      </w:pPr>
      <w:r>
        <w:rPr>
          <w:rFonts w:ascii="Times New Roman" w:hAnsi="Times New Roman" w:cs="Times New Roman"/>
          <w:b/>
          <w:bCs/>
        </w:rPr>
        <w:t xml:space="preserve">    </w:t>
      </w:r>
      <w:r w:rsidR="00D95D32">
        <w:rPr>
          <w:rFonts w:ascii="Times New Roman" w:hAnsi="Times New Roman" w:cs="Times New Roman"/>
          <w:b/>
          <w:bCs/>
        </w:rPr>
        <w:t xml:space="preserve">                                                                                    </w:t>
      </w:r>
    </w:p>
    <w:p w14:paraId="26029EB0" w14:textId="3BACADFD" w:rsidR="00806FF8" w:rsidRPr="006D0A52" w:rsidRDefault="004504BD" w:rsidP="00806FF8">
      <w:pPr>
        <w:rPr>
          <w:rFonts w:ascii="Times New Roman" w:hAnsi="Times New Roman" w:cs="Times New Roman"/>
          <w:b/>
          <w:bCs/>
        </w:rPr>
      </w:pPr>
      <w:r>
        <w:rPr>
          <w:rFonts w:ascii="Times New Roman" w:hAnsi="Times New Roman" w:cs="Times New Roman"/>
          <w:b/>
          <w:bCs/>
        </w:rPr>
        <w:t xml:space="preserve">                                                            </w:t>
      </w:r>
      <w:r w:rsidR="0083091A" w:rsidRPr="0083091A">
        <w:rPr>
          <w:rFonts w:ascii="Times New Roman" w:hAnsi="Times New Roman" w:cs="Times New Roman"/>
          <w:b/>
          <w:bCs/>
        </w:rPr>
        <w:t>Discussion</w:t>
      </w:r>
    </w:p>
    <w:p w14:paraId="3879844C" w14:textId="77777777" w:rsidR="00952CC1" w:rsidRPr="00952CC1" w:rsidRDefault="00952CC1" w:rsidP="00952CC1">
      <w:pPr>
        <w:rPr>
          <w:rFonts w:ascii="Times New Roman" w:hAnsi="Times New Roman" w:cs="Times New Roman"/>
        </w:rPr>
      </w:pPr>
      <w:r w:rsidRPr="00952CC1">
        <w:rPr>
          <w:rFonts w:ascii="Times New Roman" w:hAnsi="Times New Roman" w:cs="Times New Roman"/>
        </w:rPr>
        <w:t xml:space="preserve">The findings from this study offer key insights into the demographics of depression among U.S. young adults. First, the </w:t>
      </w:r>
      <w:r w:rsidRPr="00952CC1">
        <w:rPr>
          <w:rFonts w:ascii="Times New Roman" w:hAnsi="Times New Roman" w:cs="Times New Roman"/>
          <w:b/>
          <w:bCs/>
        </w:rPr>
        <w:t>regional and gender patterns</w:t>
      </w:r>
      <w:r w:rsidRPr="00952CC1">
        <w:rPr>
          <w:rFonts w:ascii="Times New Roman" w:hAnsi="Times New Roman" w:cs="Times New Roman"/>
        </w:rPr>
        <w:t xml:space="preserve"> reveal that women across most U.S. regions report significantly higher levels of depression than men. This finding is consistent with broader epidemiological studies and points toward gender-based disparities that may stem from social, biological, and psychological factors. Regional variation also suggests that access to care, cultural stigma, or local policy differences may influence mental health outcomes.</w:t>
      </w:r>
    </w:p>
    <w:p w14:paraId="28D51979" w14:textId="77777777" w:rsidR="00952CC1" w:rsidRPr="00952CC1" w:rsidRDefault="00952CC1" w:rsidP="00952CC1">
      <w:pPr>
        <w:rPr>
          <w:rFonts w:ascii="Times New Roman" w:hAnsi="Times New Roman" w:cs="Times New Roman"/>
        </w:rPr>
      </w:pPr>
      <w:r w:rsidRPr="00952CC1">
        <w:rPr>
          <w:rFonts w:ascii="Times New Roman" w:hAnsi="Times New Roman" w:cs="Times New Roman"/>
        </w:rPr>
        <w:t xml:space="preserve">Second, an analysis of </w:t>
      </w:r>
      <w:r w:rsidRPr="00952CC1">
        <w:rPr>
          <w:rFonts w:ascii="Times New Roman" w:hAnsi="Times New Roman" w:cs="Times New Roman"/>
          <w:b/>
          <w:bCs/>
        </w:rPr>
        <w:t>self-reported PHQ-2 and K6 scores over time</w:t>
      </w:r>
      <w:r w:rsidRPr="00952CC1">
        <w:rPr>
          <w:rFonts w:ascii="Times New Roman" w:hAnsi="Times New Roman" w:cs="Times New Roman"/>
        </w:rPr>
        <w:t xml:space="preserve"> highlights increasing psychological distress among young adults. This upward trend could be attributed to growing economic insecurity, the impacts of social media, academic and career pressure, or even the long-term mental health consequences of the COVID-19 pandemic. These findings emphasize the importance of early screening and mental health literacy among younger populations.</w:t>
      </w:r>
    </w:p>
    <w:p w14:paraId="123F03D6" w14:textId="77777777" w:rsidR="00952CC1" w:rsidRPr="00952CC1" w:rsidRDefault="00952CC1" w:rsidP="00952CC1">
      <w:pPr>
        <w:rPr>
          <w:rFonts w:ascii="Times New Roman" w:hAnsi="Times New Roman" w:cs="Times New Roman"/>
        </w:rPr>
      </w:pPr>
      <w:r w:rsidRPr="00952CC1">
        <w:rPr>
          <w:rFonts w:ascii="Times New Roman" w:hAnsi="Times New Roman" w:cs="Times New Roman"/>
        </w:rPr>
        <w:t xml:space="preserve">Third, the study confirms the significant role of </w:t>
      </w:r>
      <w:r w:rsidRPr="00952CC1">
        <w:rPr>
          <w:rFonts w:ascii="Times New Roman" w:hAnsi="Times New Roman" w:cs="Times New Roman"/>
          <w:b/>
          <w:bCs/>
        </w:rPr>
        <w:t>socioeconomic determinants</w:t>
      </w:r>
      <w:r w:rsidRPr="00952CC1">
        <w:rPr>
          <w:rFonts w:ascii="Times New Roman" w:hAnsi="Times New Roman" w:cs="Times New Roman"/>
        </w:rPr>
        <w:t>. Individuals with lower income and those who are unemployed reported higher rates of depressive episodes. This supports the social causation hypothesis, where financial stress, limited access to healthcare, and job insecurity exacerbate mental health issues. Policymakers should consider integrating mental health support within employment and social welfare programs, especially for economically vulnerable groups.</w:t>
      </w:r>
    </w:p>
    <w:p w14:paraId="1682EA28" w14:textId="77777777" w:rsidR="00952CC1" w:rsidRPr="00952CC1" w:rsidRDefault="00952CC1" w:rsidP="00952CC1">
      <w:pPr>
        <w:rPr>
          <w:rFonts w:ascii="Times New Roman" w:hAnsi="Times New Roman" w:cs="Times New Roman"/>
        </w:rPr>
      </w:pPr>
      <w:r w:rsidRPr="00952CC1">
        <w:rPr>
          <w:rFonts w:ascii="Times New Roman" w:hAnsi="Times New Roman" w:cs="Times New Roman"/>
        </w:rPr>
        <w:t xml:space="preserve">Fourth, </w:t>
      </w:r>
      <w:r w:rsidRPr="00952CC1">
        <w:rPr>
          <w:rFonts w:ascii="Times New Roman" w:hAnsi="Times New Roman" w:cs="Times New Roman"/>
          <w:b/>
          <w:bCs/>
        </w:rPr>
        <w:t>racial and ethnic disparities</w:t>
      </w:r>
      <w:r w:rsidRPr="00952CC1">
        <w:rPr>
          <w:rFonts w:ascii="Times New Roman" w:hAnsi="Times New Roman" w:cs="Times New Roman"/>
        </w:rPr>
        <w:t xml:space="preserve"> in depression emerged. While some racial groups reported lower overall depression scores, this may be due to underreporting or cultural stigma surrounding mental illness. Multiracial individuals and certain minority groups exhibited elevated scores, indicating unmet mental health needs. Future research should explore cultural attitudes toward mental health and expand community-based interventions that are culturally competent.</w:t>
      </w:r>
    </w:p>
    <w:p w14:paraId="375DC9F6" w14:textId="604B2423" w:rsidR="00952CC1" w:rsidRPr="00952CC1" w:rsidRDefault="00952CC1" w:rsidP="00952CC1">
      <w:pPr>
        <w:rPr>
          <w:rFonts w:ascii="Times New Roman" w:hAnsi="Times New Roman" w:cs="Times New Roman"/>
        </w:rPr>
      </w:pPr>
      <w:r w:rsidRPr="00952CC1">
        <w:rPr>
          <w:rFonts w:ascii="Times New Roman" w:hAnsi="Times New Roman" w:cs="Times New Roman"/>
        </w:rPr>
        <w:t xml:space="preserve">Overall, the data </w:t>
      </w:r>
      <w:r w:rsidR="00CC4FE7" w:rsidRPr="00952CC1">
        <w:rPr>
          <w:rFonts w:ascii="Times New Roman" w:hAnsi="Times New Roman" w:cs="Times New Roman"/>
        </w:rPr>
        <w:t>suggests</w:t>
      </w:r>
      <w:r w:rsidRPr="00952CC1">
        <w:rPr>
          <w:rFonts w:ascii="Times New Roman" w:hAnsi="Times New Roman" w:cs="Times New Roman"/>
        </w:rPr>
        <w:t xml:space="preserve"> that insurance coverage alone does not guarantee better mental health outcomes. While insured individuals may have better access, disparities persist due to cost-sharing burdens, provider availability, and lack of culturally sensitive services. Expanding access to affordable and inclusive mental healthcare must go </w:t>
      </w:r>
      <w:proofErr w:type="gramStart"/>
      <w:r w:rsidRPr="00952CC1">
        <w:rPr>
          <w:rFonts w:ascii="Times New Roman" w:hAnsi="Times New Roman" w:cs="Times New Roman"/>
        </w:rPr>
        <w:t>hand-in-hand</w:t>
      </w:r>
      <w:proofErr w:type="gramEnd"/>
      <w:r w:rsidRPr="00952CC1">
        <w:rPr>
          <w:rFonts w:ascii="Times New Roman" w:hAnsi="Times New Roman" w:cs="Times New Roman"/>
        </w:rPr>
        <w:t xml:space="preserve"> with insurance reform.</w:t>
      </w:r>
    </w:p>
    <w:p w14:paraId="10AA1ECF" w14:textId="77777777" w:rsidR="00C7457B" w:rsidRPr="004504BD" w:rsidRDefault="00C7457B" w:rsidP="00C7457B">
      <w:pPr>
        <w:rPr>
          <w:rFonts w:ascii="Times New Roman" w:hAnsi="Times New Roman" w:cs="Times New Roman"/>
        </w:rPr>
      </w:pPr>
    </w:p>
    <w:p w14:paraId="06A00991" w14:textId="77777777" w:rsidR="00C7457B" w:rsidRDefault="00C7457B" w:rsidP="00C7457B">
      <w:pPr>
        <w:rPr>
          <w:rFonts w:ascii="Times New Roman" w:hAnsi="Times New Roman" w:cs="Times New Roman"/>
          <w:b/>
          <w:bCs/>
        </w:rPr>
      </w:pPr>
    </w:p>
    <w:p w14:paraId="16480347" w14:textId="77777777" w:rsidR="0022712A" w:rsidRDefault="0022712A" w:rsidP="00C7457B">
      <w:pPr>
        <w:rPr>
          <w:rFonts w:ascii="Times New Roman" w:hAnsi="Times New Roman" w:cs="Times New Roman"/>
          <w:b/>
          <w:bCs/>
        </w:rPr>
      </w:pPr>
    </w:p>
    <w:p w14:paraId="20ED3CC0" w14:textId="77777777" w:rsidR="00C7457B" w:rsidRDefault="00C7457B" w:rsidP="00C7457B">
      <w:pPr>
        <w:rPr>
          <w:rFonts w:ascii="Times New Roman" w:hAnsi="Times New Roman" w:cs="Times New Roman"/>
          <w:b/>
          <w:bCs/>
        </w:rPr>
      </w:pPr>
    </w:p>
    <w:p w14:paraId="649E3463" w14:textId="77777777" w:rsidR="00C7457B" w:rsidRDefault="00C7457B" w:rsidP="00C7457B">
      <w:pPr>
        <w:rPr>
          <w:rFonts w:ascii="Times New Roman" w:hAnsi="Times New Roman" w:cs="Times New Roman"/>
          <w:b/>
          <w:bCs/>
        </w:rPr>
      </w:pPr>
    </w:p>
    <w:p w14:paraId="53DA128D" w14:textId="50693629" w:rsidR="00C7457B" w:rsidRPr="00C7457B" w:rsidRDefault="009C23A0" w:rsidP="00C7457B">
      <w:pPr>
        <w:rPr>
          <w:rFonts w:ascii="Times New Roman" w:hAnsi="Times New Roman" w:cs="Times New Roman"/>
        </w:rPr>
      </w:pPr>
      <w:r>
        <w:rPr>
          <w:rFonts w:ascii="Times New Roman" w:hAnsi="Times New Roman" w:cs="Times New Roman"/>
          <w:b/>
          <w:bCs/>
        </w:rPr>
        <w:t xml:space="preserve">                                                                   </w:t>
      </w:r>
      <w:r w:rsidR="00C7457B" w:rsidRPr="00C7457B">
        <w:rPr>
          <w:rFonts w:ascii="Times New Roman" w:hAnsi="Times New Roman" w:cs="Times New Roman"/>
          <w:b/>
          <w:bCs/>
        </w:rPr>
        <w:t>References</w:t>
      </w:r>
    </w:p>
    <w:p w14:paraId="29DAD1B0" w14:textId="40EDF8FD" w:rsidR="008C6D17" w:rsidRDefault="0071349F">
      <w:pPr>
        <w:rPr>
          <w:rFonts w:ascii="Times New Roman" w:hAnsi="Times New Roman" w:cs="Times New Roman"/>
        </w:rPr>
      </w:pPr>
      <w:r w:rsidRPr="0071349F">
        <w:rPr>
          <w:rFonts w:ascii="Times New Roman" w:hAnsi="Times New Roman" w:cs="Times New Roman"/>
        </w:rPr>
        <w:t xml:space="preserve">[1] World Health Organization, </w:t>
      </w:r>
      <w:r w:rsidRPr="0071349F">
        <w:rPr>
          <w:rFonts w:ascii="Times New Roman" w:hAnsi="Times New Roman" w:cs="Times New Roman"/>
          <w:i/>
          <w:iCs/>
        </w:rPr>
        <w:t>Depression</w:t>
      </w:r>
      <w:r w:rsidRPr="0071349F">
        <w:rPr>
          <w:rFonts w:ascii="Times New Roman" w:hAnsi="Times New Roman" w:cs="Times New Roman"/>
        </w:rPr>
        <w:t xml:space="preserve">, Jan. 2021. [Online]. Available: </w:t>
      </w:r>
      <w:hyperlink r:id="rId5" w:tgtFrame="_new" w:history="1">
        <w:r w:rsidRPr="0071349F">
          <w:rPr>
            <w:rStyle w:val="Hyperlink"/>
            <w:rFonts w:ascii="Times New Roman" w:hAnsi="Times New Roman" w:cs="Times New Roman"/>
          </w:rPr>
          <w:t>https://www.who.int/news-room/fact-sheets/detail/depression</w:t>
        </w:r>
      </w:hyperlink>
      <w:r w:rsidRPr="0071349F">
        <w:rPr>
          <w:rFonts w:ascii="Times New Roman" w:hAnsi="Times New Roman" w:cs="Times New Roman"/>
        </w:rPr>
        <w:br/>
        <w:t xml:space="preserve">[2] Substance Abuse and Mental Health Services Administration (SAMHSA), </w:t>
      </w:r>
      <w:r w:rsidRPr="0071349F">
        <w:rPr>
          <w:rFonts w:ascii="Times New Roman" w:hAnsi="Times New Roman" w:cs="Times New Roman"/>
          <w:i/>
          <w:iCs/>
        </w:rPr>
        <w:t>2022 National Survey on Drug Use and Health (NSDUH)</w:t>
      </w:r>
      <w:r w:rsidRPr="0071349F">
        <w:rPr>
          <w:rFonts w:ascii="Times New Roman" w:hAnsi="Times New Roman" w:cs="Times New Roman"/>
        </w:rPr>
        <w:t>, Dec. 2023. [Online]. Available: https://www.samhsa.gov/data/report/2022-nsduh-annual-national-report</w:t>
      </w:r>
      <w:r w:rsidRPr="0071349F">
        <w:rPr>
          <w:rFonts w:ascii="Times New Roman" w:hAnsi="Times New Roman" w:cs="Times New Roman"/>
        </w:rPr>
        <w:br/>
        <w:t xml:space="preserve">[3] A. J. Mitchell et al., “Biological and psychological risk factors for major depression,” </w:t>
      </w:r>
      <w:r w:rsidRPr="0071349F">
        <w:rPr>
          <w:rFonts w:ascii="Times New Roman" w:hAnsi="Times New Roman" w:cs="Times New Roman"/>
          <w:i/>
          <w:iCs/>
        </w:rPr>
        <w:t>The Lancet Psychiatry</w:t>
      </w:r>
      <w:r w:rsidRPr="0071349F">
        <w:rPr>
          <w:rFonts w:ascii="Times New Roman" w:hAnsi="Times New Roman" w:cs="Times New Roman"/>
        </w:rPr>
        <w:t>, vol. 5, no. 7, pp. 606–615, 2018.</w:t>
      </w:r>
      <w:r w:rsidRPr="0071349F">
        <w:rPr>
          <w:rFonts w:ascii="Times New Roman" w:hAnsi="Times New Roman" w:cs="Times New Roman"/>
        </w:rPr>
        <w:br/>
        <w:t xml:space="preserve">[4] R. H. Belmaker and G. Agam, “Major depressive disorder,” </w:t>
      </w:r>
      <w:r w:rsidRPr="0071349F">
        <w:rPr>
          <w:rFonts w:ascii="Times New Roman" w:hAnsi="Times New Roman" w:cs="Times New Roman"/>
          <w:i/>
          <w:iCs/>
        </w:rPr>
        <w:t>New England Journal of Medicine</w:t>
      </w:r>
      <w:r w:rsidRPr="0071349F">
        <w:rPr>
          <w:rFonts w:ascii="Times New Roman" w:hAnsi="Times New Roman" w:cs="Times New Roman"/>
        </w:rPr>
        <w:t>, vol. 358, no. 1, pp. 55–68, Jan. 2008.</w:t>
      </w:r>
      <w:r w:rsidRPr="0071349F">
        <w:rPr>
          <w:rFonts w:ascii="Times New Roman" w:hAnsi="Times New Roman" w:cs="Times New Roman"/>
        </w:rPr>
        <w:br/>
        <w:t xml:space="preserve">[5] Agency for Healthcare Research and Quality (AHRQ), </w:t>
      </w:r>
      <w:r w:rsidRPr="0071349F">
        <w:rPr>
          <w:rFonts w:ascii="Times New Roman" w:hAnsi="Times New Roman" w:cs="Times New Roman"/>
          <w:i/>
          <w:iCs/>
        </w:rPr>
        <w:t>Medical Expenditure Panel Survey (MEPS) HC-224: 2020 Full Year Consolidated Data File</w:t>
      </w:r>
      <w:r w:rsidRPr="0071349F">
        <w:rPr>
          <w:rFonts w:ascii="Times New Roman" w:hAnsi="Times New Roman" w:cs="Times New Roman"/>
        </w:rPr>
        <w:t xml:space="preserve">, 2022. [Online]. Available: </w:t>
      </w:r>
      <w:hyperlink r:id="rId6" w:history="1">
        <w:r w:rsidR="0022712A" w:rsidRPr="00D23F4C">
          <w:rPr>
            <w:rStyle w:val="Hyperlink"/>
            <w:rFonts w:ascii="Times New Roman" w:hAnsi="Times New Roman" w:cs="Times New Roman"/>
          </w:rPr>
          <w:t>https://meps.ahrq.gov/data_stats/download_data/pufs/h224/h224doc.pdf</w:t>
        </w:r>
      </w:hyperlink>
    </w:p>
    <w:p w14:paraId="7FD8689F" w14:textId="77777777" w:rsidR="0022712A" w:rsidRPr="0022712A" w:rsidRDefault="0022712A" w:rsidP="0022712A">
      <w:pPr>
        <w:rPr>
          <w:rFonts w:ascii="Times New Roman" w:hAnsi="Times New Roman" w:cs="Times New Roman"/>
        </w:rPr>
      </w:pPr>
      <w:r w:rsidRPr="0022712A">
        <w:rPr>
          <w:rFonts w:ascii="Times New Roman" w:hAnsi="Times New Roman" w:cs="Times New Roman"/>
        </w:rPr>
        <w:t xml:space="preserve">[6] A. H. Weinberger, R. S. </w:t>
      </w:r>
      <w:proofErr w:type="spellStart"/>
      <w:r w:rsidRPr="0022712A">
        <w:rPr>
          <w:rFonts w:ascii="Times New Roman" w:hAnsi="Times New Roman" w:cs="Times New Roman"/>
        </w:rPr>
        <w:t>Gbedemah</w:t>
      </w:r>
      <w:proofErr w:type="spellEnd"/>
      <w:r w:rsidRPr="0022712A">
        <w:rPr>
          <w:rFonts w:ascii="Times New Roman" w:hAnsi="Times New Roman" w:cs="Times New Roman"/>
        </w:rPr>
        <w:t xml:space="preserve">, S. Martinez, J. Nash, and R. D. Goodwin, “Trends in depression prevalence in the USA from 2005 to 2015: widening disparities in vulnerable groups,” </w:t>
      </w:r>
      <w:r w:rsidRPr="0022712A">
        <w:rPr>
          <w:rFonts w:ascii="Times New Roman" w:hAnsi="Times New Roman" w:cs="Times New Roman"/>
          <w:i/>
          <w:iCs/>
        </w:rPr>
        <w:t>Psychological Medicine</w:t>
      </w:r>
      <w:r w:rsidRPr="0022712A">
        <w:rPr>
          <w:rFonts w:ascii="Times New Roman" w:hAnsi="Times New Roman" w:cs="Times New Roman"/>
        </w:rPr>
        <w:t>, vol. 48, no. 8, pp. 1308–1315, 2018.</w:t>
      </w:r>
      <w:r w:rsidRPr="0022712A">
        <w:rPr>
          <w:rFonts w:ascii="Times New Roman" w:hAnsi="Times New Roman" w:cs="Times New Roman"/>
        </w:rPr>
        <w:br/>
        <w:t xml:space="preserve">[7] D. J. Brody, L. A. Pratt, and J. P. Hughes, “Prevalence of depression among adults aged 20 and over: United States, 2013–2016,” </w:t>
      </w:r>
      <w:r w:rsidRPr="0022712A">
        <w:rPr>
          <w:rFonts w:ascii="Times New Roman" w:hAnsi="Times New Roman" w:cs="Times New Roman"/>
          <w:i/>
          <w:iCs/>
        </w:rPr>
        <w:t>NCHS Data Brief</w:t>
      </w:r>
      <w:r w:rsidRPr="0022712A">
        <w:rPr>
          <w:rFonts w:ascii="Times New Roman" w:hAnsi="Times New Roman" w:cs="Times New Roman"/>
        </w:rPr>
        <w:t>, no. 303, pp. 1–8, 2018.</w:t>
      </w:r>
      <w:r w:rsidRPr="0022712A">
        <w:rPr>
          <w:rFonts w:ascii="Times New Roman" w:hAnsi="Times New Roman" w:cs="Times New Roman"/>
        </w:rPr>
        <w:br/>
        <w:t xml:space="preserve">[8] C. Kuehner, “Why is depression more common among women than among men?” </w:t>
      </w:r>
      <w:r w:rsidRPr="0022712A">
        <w:rPr>
          <w:rFonts w:ascii="Times New Roman" w:hAnsi="Times New Roman" w:cs="Times New Roman"/>
          <w:i/>
          <w:iCs/>
        </w:rPr>
        <w:t>The Lancet Psychiatry</w:t>
      </w:r>
      <w:r w:rsidRPr="0022712A">
        <w:rPr>
          <w:rFonts w:ascii="Times New Roman" w:hAnsi="Times New Roman" w:cs="Times New Roman"/>
        </w:rPr>
        <w:t>, vol. 4, no. 2, pp. 146–158, 2017.</w:t>
      </w:r>
      <w:r w:rsidRPr="0022712A">
        <w:rPr>
          <w:rFonts w:ascii="Times New Roman" w:hAnsi="Times New Roman" w:cs="Times New Roman"/>
        </w:rPr>
        <w:br/>
        <w:t xml:space="preserve">[9] V. Lorant, D. </w:t>
      </w:r>
      <w:proofErr w:type="spellStart"/>
      <w:r w:rsidRPr="0022712A">
        <w:rPr>
          <w:rFonts w:ascii="Times New Roman" w:hAnsi="Times New Roman" w:cs="Times New Roman"/>
        </w:rPr>
        <w:t>Deliège</w:t>
      </w:r>
      <w:proofErr w:type="spellEnd"/>
      <w:r w:rsidRPr="0022712A">
        <w:rPr>
          <w:rFonts w:ascii="Times New Roman" w:hAnsi="Times New Roman" w:cs="Times New Roman"/>
        </w:rPr>
        <w:t xml:space="preserve">, W. Eaton, A. Robert, P. Philippot, and M. </w:t>
      </w:r>
      <w:proofErr w:type="spellStart"/>
      <w:r w:rsidRPr="0022712A">
        <w:rPr>
          <w:rFonts w:ascii="Times New Roman" w:hAnsi="Times New Roman" w:cs="Times New Roman"/>
        </w:rPr>
        <w:t>Ansseau</w:t>
      </w:r>
      <w:proofErr w:type="spellEnd"/>
      <w:r w:rsidRPr="0022712A">
        <w:rPr>
          <w:rFonts w:ascii="Times New Roman" w:hAnsi="Times New Roman" w:cs="Times New Roman"/>
        </w:rPr>
        <w:t xml:space="preserve">, “Socioeconomic inequalities in depression: a meta-analysis,” </w:t>
      </w:r>
      <w:r w:rsidRPr="0022712A">
        <w:rPr>
          <w:rFonts w:ascii="Times New Roman" w:hAnsi="Times New Roman" w:cs="Times New Roman"/>
          <w:i/>
          <w:iCs/>
        </w:rPr>
        <w:t>American Journal of Epidemiology</w:t>
      </w:r>
      <w:r w:rsidRPr="0022712A">
        <w:rPr>
          <w:rFonts w:ascii="Times New Roman" w:hAnsi="Times New Roman" w:cs="Times New Roman"/>
        </w:rPr>
        <w:t>, vol. 157, no. 2, pp. 98–112, 2003.</w:t>
      </w:r>
      <w:r w:rsidRPr="0022712A">
        <w:rPr>
          <w:rFonts w:ascii="Times New Roman" w:hAnsi="Times New Roman" w:cs="Times New Roman"/>
        </w:rPr>
        <w:br/>
        <w:t xml:space="preserve">[10] K. Davis, M. P. </w:t>
      </w:r>
      <w:proofErr w:type="spellStart"/>
      <w:r w:rsidRPr="0022712A">
        <w:rPr>
          <w:rFonts w:ascii="Times New Roman" w:hAnsi="Times New Roman" w:cs="Times New Roman"/>
        </w:rPr>
        <w:t>Zuvekas</w:t>
      </w:r>
      <w:proofErr w:type="spellEnd"/>
      <w:r w:rsidRPr="0022712A">
        <w:rPr>
          <w:rFonts w:ascii="Times New Roman" w:hAnsi="Times New Roman" w:cs="Times New Roman"/>
        </w:rPr>
        <w:t xml:space="preserve">, and A. K. Atherly, “Insurance status, income, and mental health: using MEPS to identify disparities,” </w:t>
      </w:r>
      <w:r w:rsidRPr="0022712A">
        <w:rPr>
          <w:rFonts w:ascii="Times New Roman" w:hAnsi="Times New Roman" w:cs="Times New Roman"/>
          <w:i/>
          <w:iCs/>
        </w:rPr>
        <w:t>Health Affairs</w:t>
      </w:r>
      <w:r w:rsidRPr="0022712A">
        <w:rPr>
          <w:rFonts w:ascii="Times New Roman" w:hAnsi="Times New Roman" w:cs="Times New Roman"/>
        </w:rPr>
        <w:t>, vol. 39, no. 10, pp. 1804–1811, 2020.</w:t>
      </w:r>
      <w:r w:rsidRPr="0022712A">
        <w:rPr>
          <w:rFonts w:ascii="Times New Roman" w:hAnsi="Times New Roman" w:cs="Times New Roman"/>
        </w:rPr>
        <w:br/>
        <w:t xml:space="preserve">[11] D. R. Williams, H. Neighbors, and J. S. Jackson, “Racial/ethnic discrimination and health: findings from community studies,” </w:t>
      </w:r>
      <w:r w:rsidRPr="0022712A">
        <w:rPr>
          <w:rFonts w:ascii="Times New Roman" w:hAnsi="Times New Roman" w:cs="Times New Roman"/>
          <w:i/>
          <w:iCs/>
        </w:rPr>
        <w:t>American Journal of Public Health</w:t>
      </w:r>
      <w:r w:rsidRPr="0022712A">
        <w:rPr>
          <w:rFonts w:ascii="Times New Roman" w:hAnsi="Times New Roman" w:cs="Times New Roman"/>
        </w:rPr>
        <w:t>, vol. 97, no. 2, pp. 200–208, 2007.</w:t>
      </w:r>
      <w:r w:rsidRPr="0022712A">
        <w:rPr>
          <w:rFonts w:ascii="Times New Roman" w:hAnsi="Times New Roman" w:cs="Times New Roman"/>
        </w:rPr>
        <w:br/>
        <w:t xml:space="preserve">[12] Centers for Disease Control and Prevention (CDC), </w:t>
      </w:r>
      <w:r w:rsidRPr="0022712A">
        <w:rPr>
          <w:rFonts w:ascii="Times New Roman" w:hAnsi="Times New Roman" w:cs="Times New Roman"/>
          <w:i/>
          <w:iCs/>
        </w:rPr>
        <w:t>Vital Signs: Mental Health in Rural America</w:t>
      </w:r>
      <w:r w:rsidRPr="0022712A">
        <w:rPr>
          <w:rFonts w:ascii="Times New Roman" w:hAnsi="Times New Roman" w:cs="Times New Roman"/>
        </w:rPr>
        <w:t xml:space="preserve">, 2020. [Online]. Available: </w:t>
      </w:r>
      <w:hyperlink r:id="rId7" w:tgtFrame="_new" w:history="1">
        <w:r w:rsidRPr="0022712A">
          <w:rPr>
            <w:rStyle w:val="Hyperlink"/>
            <w:rFonts w:ascii="Times New Roman" w:hAnsi="Times New Roman" w:cs="Times New Roman"/>
          </w:rPr>
          <w:t>https://www.cdc.gov/vitalsigns/rural-health/index.html</w:t>
        </w:r>
      </w:hyperlink>
      <w:r w:rsidRPr="0022712A">
        <w:rPr>
          <w:rFonts w:ascii="Times New Roman" w:hAnsi="Times New Roman" w:cs="Times New Roman"/>
        </w:rPr>
        <w:br/>
        <w:t xml:space="preserve">[13] R. C. Kessler et al., “Short screening scales to monitor population prevalences and trends in non-specific psychological distress,” </w:t>
      </w:r>
      <w:r w:rsidRPr="0022712A">
        <w:rPr>
          <w:rFonts w:ascii="Times New Roman" w:hAnsi="Times New Roman" w:cs="Times New Roman"/>
          <w:i/>
          <w:iCs/>
        </w:rPr>
        <w:t>Psychological Medicine</w:t>
      </w:r>
      <w:r w:rsidRPr="0022712A">
        <w:rPr>
          <w:rFonts w:ascii="Times New Roman" w:hAnsi="Times New Roman" w:cs="Times New Roman"/>
        </w:rPr>
        <w:t>, vol. 32, no. 6, pp. 959–976, 2002.</w:t>
      </w:r>
      <w:r w:rsidRPr="0022712A">
        <w:rPr>
          <w:rFonts w:ascii="Times New Roman" w:hAnsi="Times New Roman" w:cs="Times New Roman"/>
        </w:rPr>
        <w:br/>
        <w:t xml:space="preserve">[14] K. Kroenke, R. L. Spitzer, and J. B. Williams, “The Patient Health Questionnaire-2: validity of a two-item depression screener,” </w:t>
      </w:r>
      <w:r w:rsidRPr="0022712A">
        <w:rPr>
          <w:rFonts w:ascii="Times New Roman" w:hAnsi="Times New Roman" w:cs="Times New Roman"/>
          <w:i/>
          <w:iCs/>
        </w:rPr>
        <w:t>Medical Care</w:t>
      </w:r>
      <w:r w:rsidRPr="0022712A">
        <w:rPr>
          <w:rFonts w:ascii="Times New Roman" w:hAnsi="Times New Roman" w:cs="Times New Roman"/>
        </w:rPr>
        <w:t>, vol. 41, no. 11, pp. 1284–1292, 2003.</w:t>
      </w:r>
    </w:p>
    <w:p w14:paraId="50D50CAA" w14:textId="77777777" w:rsidR="0022712A" w:rsidRPr="00C7457B" w:rsidRDefault="0022712A">
      <w:pPr>
        <w:rPr>
          <w:rFonts w:ascii="Times New Roman" w:hAnsi="Times New Roman" w:cs="Times New Roman"/>
        </w:rPr>
      </w:pPr>
    </w:p>
    <w:sectPr w:rsidR="0022712A" w:rsidRPr="00C745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89F"/>
    <w:multiLevelType w:val="multilevel"/>
    <w:tmpl w:val="643C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D0D6C"/>
    <w:multiLevelType w:val="hybridMultilevel"/>
    <w:tmpl w:val="325A0A0C"/>
    <w:lvl w:ilvl="0" w:tplc="F0908EEE">
      <w:start w:val="1"/>
      <w:numFmt w:val="bullet"/>
      <w:lvlText w:val="•"/>
      <w:lvlJc w:val="left"/>
      <w:pPr>
        <w:tabs>
          <w:tab w:val="num" w:pos="720"/>
        </w:tabs>
        <w:ind w:left="720" w:hanging="360"/>
      </w:pPr>
      <w:rPr>
        <w:rFonts w:ascii="Times New Roman" w:hAnsi="Times New Roman" w:hint="default"/>
      </w:rPr>
    </w:lvl>
    <w:lvl w:ilvl="1" w:tplc="C178C24E" w:tentative="1">
      <w:start w:val="1"/>
      <w:numFmt w:val="bullet"/>
      <w:lvlText w:val="•"/>
      <w:lvlJc w:val="left"/>
      <w:pPr>
        <w:tabs>
          <w:tab w:val="num" w:pos="1440"/>
        </w:tabs>
        <w:ind w:left="1440" w:hanging="360"/>
      </w:pPr>
      <w:rPr>
        <w:rFonts w:ascii="Times New Roman" w:hAnsi="Times New Roman" w:hint="default"/>
      </w:rPr>
    </w:lvl>
    <w:lvl w:ilvl="2" w:tplc="CD4A4D08" w:tentative="1">
      <w:start w:val="1"/>
      <w:numFmt w:val="bullet"/>
      <w:lvlText w:val="•"/>
      <w:lvlJc w:val="left"/>
      <w:pPr>
        <w:tabs>
          <w:tab w:val="num" w:pos="2160"/>
        </w:tabs>
        <w:ind w:left="2160" w:hanging="360"/>
      </w:pPr>
      <w:rPr>
        <w:rFonts w:ascii="Times New Roman" w:hAnsi="Times New Roman" w:hint="default"/>
      </w:rPr>
    </w:lvl>
    <w:lvl w:ilvl="3" w:tplc="C45CA450" w:tentative="1">
      <w:start w:val="1"/>
      <w:numFmt w:val="bullet"/>
      <w:lvlText w:val="•"/>
      <w:lvlJc w:val="left"/>
      <w:pPr>
        <w:tabs>
          <w:tab w:val="num" w:pos="2880"/>
        </w:tabs>
        <w:ind w:left="2880" w:hanging="360"/>
      </w:pPr>
      <w:rPr>
        <w:rFonts w:ascii="Times New Roman" w:hAnsi="Times New Roman" w:hint="default"/>
      </w:rPr>
    </w:lvl>
    <w:lvl w:ilvl="4" w:tplc="28A2330C" w:tentative="1">
      <w:start w:val="1"/>
      <w:numFmt w:val="bullet"/>
      <w:lvlText w:val="•"/>
      <w:lvlJc w:val="left"/>
      <w:pPr>
        <w:tabs>
          <w:tab w:val="num" w:pos="3600"/>
        </w:tabs>
        <w:ind w:left="3600" w:hanging="360"/>
      </w:pPr>
      <w:rPr>
        <w:rFonts w:ascii="Times New Roman" w:hAnsi="Times New Roman" w:hint="default"/>
      </w:rPr>
    </w:lvl>
    <w:lvl w:ilvl="5" w:tplc="B44A1C8A" w:tentative="1">
      <w:start w:val="1"/>
      <w:numFmt w:val="bullet"/>
      <w:lvlText w:val="•"/>
      <w:lvlJc w:val="left"/>
      <w:pPr>
        <w:tabs>
          <w:tab w:val="num" w:pos="4320"/>
        </w:tabs>
        <w:ind w:left="4320" w:hanging="360"/>
      </w:pPr>
      <w:rPr>
        <w:rFonts w:ascii="Times New Roman" w:hAnsi="Times New Roman" w:hint="default"/>
      </w:rPr>
    </w:lvl>
    <w:lvl w:ilvl="6" w:tplc="396EA32C" w:tentative="1">
      <w:start w:val="1"/>
      <w:numFmt w:val="bullet"/>
      <w:lvlText w:val="•"/>
      <w:lvlJc w:val="left"/>
      <w:pPr>
        <w:tabs>
          <w:tab w:val="num" w:pos="5040"/>
        </w:tabs>
        <w:ind w:left="5040" w:hanging="360"/>
      </w:pPr>
      <w:rPr>
        <w:rFonts w:ascii="Times New Roman" w:hAnsi="Times New Roman" w:hint="default"/>
      </w:rPr>
    </w:lvl>
    <w:lvl w:ilvl="7" w:tplc="5880870E" w:tentative="1">
      <w:start w:val="1"/>
      <w:numFmt w:val="bullet"/>
      <w:lvlText w:val="•"/>
      <w:lvlJc w:val="left"/>
      <w:pPr>
        <w:tabs>
          <w:tab w:val="num" w:pos="5760"/>
        </w:tabs>
        <w:ind w:left="5760" w:hanging="360"/>
      </w:pPr>
      <w:rPr>
        <w:rFonts w:ascii="Times New Roman" w:hAnsi="Times New Roman" w:hint="default"/>
      </w:rPr>
    </w:lvl>
    <w:lvl w:ilvl="8" w:tplc="A3824A84"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9976B7D"/>
    <w:multiLevelType w:val="multilevel"/>
    <w:tmpl w:val="BBD46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960AB9"/>
    <w:multiLevelType w:val="multilevel"/>
    <w:tmpl w:val="3C12F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241FF4"/>
    <w:multiLevelType w:val="hybridMultilevel"/>
    <w:tmpl w:val="08A4F610"/>
    <w:lvl w:ilvl="0" w:tplc="62828E4A">
      <w:start w:val="1"/>
      <w:numFmt w:val="bullet"/>
      <w:lvlText w:val="•"/>
      <w:lvlJc w:val="left"/>
      <w:pPr>
        <w:tabs>
          <w:tab w:val="num" w:pos="720"/>
        </w:tabs>
        <w:ind w:left="720" w:hanging="360"/>
      </w:pPr>
      <w:rPr>
        <w:rFonts w:ascii="Times New Roman" w:hAnsi="Times New Roman" w:hint="default"/>
      </w:rPr>
    </w:lvl>
    <w:lvl w:ilvl="1" w:tplc="4B069616" w:tentative="1">
      <w:start w:val="1"/>
      <w:numFmt w:val="bullet"/>
      <w:lvlText w:val="•"/>
      <w:lvlJc w:val="left"/>
      <w:pPr>
        <w:tabs>
          <w:tab w:val="num" w:pos="1440"/>
        </w:tabs>
        <w:ind w:left="1440" w:hanging="360"/>
      </w:pPr>
      <w:rPr>
        <w:rFonts w:ascii="Times New Roman" w:hAnsi="Times New Roman" w:hint="default"/>
      </w:rPr>
    </w:lvl>
    <w:lvl w:ilvl="2" w:tplc="402E7600" w:tentative="1">
      <w:start w:val="1"/>
      <w:numFmt w:val="bullet"/>
      <w:lvlText w:val="•"/>
      <w:lvlJc w:val="left"/>
      <w:pPr>
        <w:tabs>
          <w:tab w:val="num" w:pos="2160"/>
        </w:tabs>
        <w:ind w:left="2160" w:hanging="360"/>
      </w:pPr>
      <w:rPr>
        <w:rFonts w:ascii="Times New Roman" w:hAnsi="Times New Roman" w:hint="default"/>
      </w:rPr>
    </w:lvl>
    <w:lvl w:ilvl="3" w:tplc="63A06936" w:tentative="1">
      <w:start w:val="1"/>
      <w:numFmt w:val="bullet"/>
      <w:lvlText w:val="•"/>
      <w:lvlJc w:val="left"/>
      <w:pPr>
        <w:tabs>
          <w:tab w:val="num" w:pos="2880"/>
        </w:tabs>
        <w:ind w:left="2880" w:hanging="360"/>
      </w:pPr>
      <w:rPr>
        <w:rFonts w:ascii="Times New Roman" w:hAnsi="Times New Roman" w:hint="default"/>
      </w:rPr>
    </w:lvl>
    <w:lvl w:ilvl="4" w:tplc="DA0E09E0" w:tentative="1">
      <w:start w:val="1"/>
      <w:numFmt w:val="bullet"/>
      <w:lvlText w:val="•"/>
      <w:lvlJc w:val="left"/>
      <w:pPr>
        <w:tabs>
          <w:tab w:val="num" w:pos="3600"/>
        </w:tabs>
        <w:ind w:left="3600" w:hanging="360"/>
      </w:pPr>
      <w:rPr>
        <w:rFonts w:ascii="Times New Roman" w:hAnsi="Times New Roman" w:hint="default"/>
      </w:rPr>
    </w:lvl>
    <w:lvl w:ilvl="5" w:tplc="401A7D20" w:tentative="1">
      <w:start w:val="1"/>
      <w:numFmt w:val="bullet"/>
      <w:lvlText w:val="•"/>
      <w:lvlJc w:val="left"/>
      <w:pPr>
        <w:tabs>
          <w:tab w:val="num" w:pos="4320"/>
        </w:tabs>
        <w:ind w:left="4320" w:hanging="360"/>
      </w:pPr>
      <w:rPr>
        <w:rFonts w:ascii="Times New Roman" w:hAnsi="Times New Roman" w:hint="default"/>
      </w:rPr>
    </w:lvl>
    <w:lvl w:ilvl="6" w:tplc="B5F02560" w:tentative="1">
      <w:start w:val="1"/>
      <w:numFmt w:val="bullet"/>
      <w:lvlText w:val="•"/>
      <w:lvlJc w:val="left"/>
      <w:pPr>
        <w:tabs>
          <w:tab w:val="num" w:pos="5040"/>
        </w:tabs>
        <w:ind w:left="5040" w:hanging="360"/>
      </w:pPr>
      <w:rPr>
        <w:rFonts w:ascii="Times New Roman" w:hAnsi="Times New Roman" w:hint="default"/>
      </w:rPr>
    </w:lvl>
    <w:lvl w:ilvl="7" w:tplc="2DC8BCA4" w:tentative="1">
      <w:start w:val="1"/>
      <w:numFmt w:val="bullet"/>
      <w:lvlText w:val="•"/>
      <w:lvlJc w:val="left"/>
      <w:pPr>
        <w:tabs>
          <w:tab w:val="num" w:pos="5760"/>
        </w:tabs>
        <w:ind w:left="5760" w:hanging="360"/>
      </w:pPr>
      <w:rPr>
        <w:rFonts w:ascii="Times New Roman" w:hAnsi="Times New Roman" w:hint="default"/>
      </w:rPr>
    </w:lvl>
    <w:lvl w:ilvl="8" w:tplc="70B67364"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56D76A8"/>
    <w:multiLevelType w:val="multilevel"/>
    <w:tmpl w:val="DFDA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C7DE1"/>
    <w:multiLevelType w:val="multilevel"/>
    <w:tmpl w:val="EBA8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F0C25"/>
    <w:multiLevelType w:val="hybridMultilevel"/>
    <w:tmpl w:val="BD422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BC3910"/>
    <w:multiLevelType w:val="multilevel"/>
    <w:tmpl w:val="A29A6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EB1217"/>
    <w:multiLevelType w:val="hybridMultilevel"/>
    <w:tmpl w:val="41085344"/>
    <w:lvl w:ilvl="0" w:tplc="E27AF5A8">
      <w:start w:val="1"/>
      <w:numFmt w:val="bullet"/>
      <w:lvlText w:val="•"/>
      <w:lvlJc w:val="left"/>
      <w:pPr>
        <w:tabs>
          <w:tab w:val="num" w:pos="720"/>
        </w:tabs>
        <w:ind w:left="720" w:hanging="360"/>
      </w:pPr>
      <w:rPr>
        <w:rFonts w:ascii="Times New Roman" w:hAnsi="Times New Roman" w:hint="default"/>
      </w:rPr>
    </w:lvl>
    <w:lvl w:ilvl="1" w:tplc="BE845E5A" w:tentative="1">
      <w:start w:val="1"/>
      <w:numFmt w:val="bullet"/>
      <w:lvlText w:val="•"/>
      <w:lvlJc w:val="left"/>
      <w:pPr>
        <w:tabs>
          <w:tab w:val="num" w:pos="1440"/>
        </w:tabs>
        <w:ind w:left="1440" w:hanging="360"/>
      </w:pPr>
      <w:rPr>
        <w:rFonts w:ascii="Times New Roman" w:hAnsi="Times New Roman" w:hint="default"/>
      </w:rPr>
    </w:lvl>
    <w:lvl w:ilvl="2" w:tplc="28BC24C2" w:tentative="1">
      <w:start w:val="1"/>
      <w:numFmt w:val="bullet"/>
      <w:lvlText w:val="•"/>
      <w:lvlJc w:val="left"/>
      <w:pPr>
        <w:tabs>
          <w:tab w:val="num" w:pos="2160"/>
        </w:tabs>
        <w:ind w:left="2160" w:hanging="360"/>
      </w:pPr>
      <w:rPr>
        <w:rFonts w:ascii="Times New Roman" w:hAnsi="Times New Roman" w:hint="default"/>
      </w:rPr>
    </w:lvl>
    <w:lvl w:ilvl="3" w:tplc="8612F61A" w:tentative="1">
      <w:start w:val="1"/>
      <w:numFmt w:val="bullet"/>
      <w:lvlText w:val="•"/>
      <w:lvlJc w:val="left"/>
      <w:pPr>
        <w:tabs>
          <w:tab w:val="num" w:pos="2880"/>
        </w:tabs>
        <w:ind w:left="2880" w:hanging="360"/>
      </w:pPr>
      <w:rPr>
        <w:rFonts w:ascii="Times New Roman" w:hAnsi="Times New Roman" w:hint="default"/>
      </w:rPr>
    </w:lvl>
    <w:lvl w:ilvl="4" w:tplc="CC569A1E" w:tentative="1">
      <w:start w:val="1"/>
      <w:numFmt w:val="bullet"/>
      <w:lvlText w:val="•"/>
      <w:lvlJc w:val="left"/>
      <w:pPr>
        <w:tabs>
          <w:tab w:val="num" w:pos="3600"/>
        </w:tabs>
        <w:ind w:left="3600" w:hanging="360"/>
      </w:pPr>
      <w:rPr>
        <w:rFonts w:ascii="Times New Roman" w:hAnsi="Times New Roman" w:hint="default"/>
      </w:rPr>
    </w:lvl>
    <w:lvl w:ilvl="5" w:tplc="FB50B6BE" w:tentative="1">
      <w:start w:val="1"/>
      <w:numFmt w:val="bullet"/>
      <w:lvlText w:val="•"/>
      <w:lvlJc w:val="left"/>
      <w:pPr>
        <w:tabs>
          <w:tab w:val="num" w:pos="4320"/>
        </w:tabs>
        <w:ind w:left="4320" w:hanging="360"/>
      </w:pPr>
      <w:rPr>
        <w:rFonts w:ascii="Times New Roman" w:hAnsi="Times New Roman" w:hint="default"/>
      </w:rPr>
    </w:lvl>
    <w:lvl w:ilvl="6" w:tplc="380C73F8" w:tentative="1">
      <w:start w:val="1"/>
      <w:numFmt w:val="bullet"/>
      <w:lvlText w:val="•"/>
      <w:lvlJc w:val="left"/>
      <w:pPr>
        <w:tabs>
          <w:tab w:val="num" w:pos="5040"/>
        </w:tabs>
        <w:ind w:left="5040" w:hanging="360"/>
      </w:pPr>
      <w:rPr>
        <w:rFonts w:ascii="Times New Roman" w:hAnsi="Times New Roman" w:hint="default"/>
      </w:rPr>
    </w:lvl>
    <w:lvl w:ilvl="7" w:tplc="8C3C505A" w:tentative="1">
      <w:start w:val="1"/>
      <w:numFmt w:val="bullet"/>
      <w:lvlText w:val="•"/>
      <w:lvlJc w:val="left"/>
      <w:pPr>
        <w:tabs>
          <w:tab w:val="num" w:pos="5760"/>
        </w:tabs>
        <w:ind w:left="5760" w:hanging="360"/>
      </w:pPr>
      <w:rPr>
        <w:rFonts w:ascii="Times New Roman" w:hAnsi="Times New Roman" w:hint="default"/>
      </w:rPr>
    </w:lvl>
    <w:lvl w:ilvl="8" w:tplc="05329AF6"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516B3B05"/>
    <w:multiLevelType w:val="hybridMultilevel"/>
    <w:tmpl w:val="C9A40FC8"/>
    <w:lvl w:ilvl="0" w:tplc="E73A4B76">
      <w:start w:val="1"/>
      <w:numFmt w:val="bullet"/>
      <w:lvlText w:val="•"/>
      <w:lvlJc w:val="left"/>
      <w:pPr>
        <w:tabs>
          <w:tab w:val="num" w:pos="720"/>
        </w:tabs>
        <w:ind w:left="720" w:hanging="360"/>
      </w:pPr>
      <w:rPr>
        <w:rFonts w:ascii="Times New Roman" w:hAnsi="Times New Roman" w:hint="default"/>
      </w:rPr>
    </w:lvl>
    <w:lvl w:ilvl="1" w:tplc="80B66B6A" w:tentative="1">
      <w:start w:val="1"/>
      <w:numFmt w:val="bullet"/>
      <w:lvlText w:val="•"/>
      <w:lvlJc w:val="left"/>
      <w:pPr>
        <w:tabs>
          <w:tab w:val="num" w:pos="1440"/>
        </w:tabs>
        <w:ind w:left="1440" w:hanging="360"/>
      </w:pPr>
      <w:rPr>
        <w:rFonts w:ascii="Times New Roman" w:hAnsi="Times New Roman" w:hint="default"/>
      </w:rPr>
    </w:lvl>
    <w:lvl w:ilvl="2" w:tplc="5CF44EE0" w:tentative="1">
      <w:start w:val="1"/>
      <w:numFmt w:val="bullet"/>
      <w:lvlText w:val="•"/>
      <w:lvlJc w:val="left"/>
      <w:pPr>
        <w:tabs>
          <w:tab w:val="num" w:pos="2160"/>
        </w:tabs>
        <w:ind w:left="2160" w:hanging="360"/>
      </w:pPr>
      <w:rPr>
        <w:rFonts w:ascii="Times New Roman" w:hAnsi="Times New Roman" w:hint="default"/>
      </w:rPr>
    </w:lvl>
    <w:lvl w:ilvl="3" w:tplc="4CF01E86" w:tentative="1">
      <w:start w:val="1"/>
      <w:numFmt w:val="bullet"/>
      <w:lvlText w:val="•"/>
      <w:lvlJc w:val="left"/>
      <w:pPr>
        <w:tabs>
          <w:tab w:val="num" w:pos="2880"/>
        </w:tabs>
        <w:ind w:left="2880" w:hanging="360"/>
      </w:pPr>
      <w:rPr>
        <w:rFonts w:ascii="Times New Roman" w:hAnsi="Times New Roman" w:hint="default"/>
      </w:rPr>
    </w:lvl>
    <w:lvl w:ilvl="4" w:tplc="45CAE530" w:tentative="1">
      <w:start w:val="1"/>
      <w:numFmt w:val="bullet"/>
      <w:lvlText w:val="•"/>
      <w:lvlJc w:val="left"/>
      <w:pPr>
        <w:tabs>
          <w:tab w:val="num" w:pos="3600"/>
        </w:tabs>
        <w:ind w:left="3600" w:hanging="360"/>
      </w:pPr>
      <w:rPr>
        <w:rFonts w:ascii="Times New Roman" w:hAnsi="Times New Roman" w:hint="default"/>
      </w:rPr>
    </w:lvl>
    <w:lvl w:ilvl="5" w:tplc="F1FCD544" w:tentative="1">
      <w:start w:val="1"/>
      <w:numFmt w:val="bullet"/>
      <w:lvlText w:val="•"/>
      <w:lvlJc w:val="left"/>
      <w:pPr>
        <w:tabs>
          <w:tab w:val="num" w:pos="4320"/>
        </w:tabs>
        <w:ind w:left="4320" w:hanging="360"/>
      </w:pPr>
      <w:rPr>
        <w:rFonts w:ascii="Times New Roman" w:hAnsi="Times New Roman" w:hint="default"/>
      </w:rPr>
    </w:lvl>
    <w:lvl w:ilvl="6" w:tplc="3510008C" w:tentative="1">
      <w:start w:val="1"/>
      <w:numFmt w:val="bullet"/>
      <w:lvlText w:val="•"/>
      <w:lvlJc w:val="left"/>
      <w:pPr>
        <w:tabs>
          <w:tab w:val="num" w:pos="5040"/>
        </w:tabs>
        <w:ind w:left="5040" w:hanging="360"/>
      </w:pPr>
      <w:rPr>
        <w:rFonts w:ascii="Times New Roman" w:hAnsi="Times New Roman" w:hint="default"/>
      </w:rPr>
    </w:lvl>
    <w:lvl w:ilvl="7" w:tplc="456CC408" w:tentative="1">
      <w:start w:val="1"/>
      <w:numFmt w:val="bullet"/>
      <w:lvlText w:val="•"/>
      <w:lvlJc w:val="left"/>
      <w:pPr>
        <w:tabs>
          <w:tab w:val="num" w:pos="5760"/>
        </w:tabs>
        <w:ind w:left="5760" w:hanging="360"/>
      </w:pPr>
      <w:rPr>
        <w:rFonts w:ascii="Times New Roman" w:hAnsi="Times New Roman" w:hint="default"/>
      </w:rPr>
    </w:lvl>
    <w:lvl w:ilvl="8" w:tplc="21FAD288"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5DA26A4B"/>
    <w:multiLevelType w:val="multilevel"/>
    <w:tmpl w:val="1420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91CCE"/>
    <w:multiLevelType w:val="multilevel"/>
    <w:tmpl w:val="8560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5B78A5"/>
    <w:multiLevelType w:val="multilevel"/>
    <w:tmpl w:val="6C86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40EEB"/>
    <w:multiLevelType w:val="multilevel"/>
    <w:tmpl w:val="F6F4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19508D"/>
    <w:multiLevelType w:val="hybridMultilevel"/>
    <w:tmpl w:val="EBF24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8323FF"/>
    <w:multiLevelType w:val="hybridMultilevel"/>
    <w:tmpl w:val="569CF94A"/>
    <w:lvl w:ilvl="0" w:tplc="104EC3C6">
      <w:start w:val="1"/>
      <w:numFmt w:val="bullet"/>
      <w:lvlText w:val="•"/>
      <w:lvlJc w:val="left"/>
      <w:pPr>
        <w:tabs>
          <w:tab w:val="num" w:pos="720"/>
        </w:tabs>
        <w:ind w:left="720" w:hanging="360"/>
      </w:pPr>
      <w:rPr>
        <w:rFonts w:ascii="Times New Roman" w:hAnsi="Times New Roman" w:hint="default"/>
      </w:rPr>
    </w:lvl>
    <w:lvl w:ilvl="1" w:tplc="02AE4AD0" w:tentative="1">
      <w:start w:val="1"/>
      <w:numFmt w:val="bullet"/>
      <w:lvlText w:val="•"/>
      <w:lvlJc w:val="left"/>
      <w:pPr>
        <w:tabs>
          <w:tab w:val="num" w:pos="1440"/>
        </w:tabs>
        <w:ind w:left="1440" w:hanging="360"/>
      </w:pPr>
      <w:rPr>
        <w:rFonts w:ascii="Times New Roman" w:hAnsi="Times New Roman" w:hint="default"/>
      </w:rPr>
    </w:lvl>
    <w:lvl w:ilvl="2" w:tplc="8A5C5840" w:tentative="1">
      <w:start w:val="1"/>
      <w:numFmt w:val="bullet"/>
      <w:lvlText w:val="•"/>
      <w:lvlJc w:val="left"/>
      <w:pPr>
        <w:tabs>
          <w:tab w:val="num" w:pos="2160"/>
        </w:tabs>
        <w:ind w:left="2160" w:hanging="360"/>
      </w:pPr>
      <w:rPr>
        <w:rFonts w:ascii="Times New Roman" w:hAnsi="Times New Roman" w:hint="default"/>
      </w:rPr>
    </w:lvl>
    <w:lvl w:ilvl="3" w:tplc="ED3EF436" w:tentative="1">
      <w:start w:val="1"/>
      <w:numFmt w:val="bullet"/>
      <w:lvlText w:val="•"/>
      <w:lvlJc w:val="left"/>
      <w:pPr>
        <w:tabs>
          <w:tab w:val="num" w:pos="2880"/>
        </w:tabs>
        <w:ind w:left="2880" w:hanging="360"/>
      </w:pPr>
      <w:rPr>
        <w:rFonts w:ascii="Times New Roman" w:hAnsi="Times New Roman" w:hint="default"/>
      </w:rPr>
    </w:lvl>
    <w:lvl w:ilvl="4" w:tplc="662AE20C" w:tentative="1">
      <w:start w:val="1"/>
      <w:numFmt w:val="bullet"/>
      <w:lvlText w:val="•"/>
      <w:lvlJc w:val="left"/>
      <w:pPr>
        <w:tabs>
          <w:tab w:val="num" w:pos="3600"/>
        </w:tabs>
        <w:ind w:left="3600" w:hanging="360"/>
      </w:pPr>
      <w:rPr>
        <w:rFonts w:ascii="Times New Roman" w:hAnsi="Times New Roman" w:hint="default"/>
      </w:rPr>
    </w:lvl>
    <w:lvl w:ilvl="5" w:tplc="7FA20EFE" w:tentative="1">
      <w:start w:val="1"/>
      <w:numFmt w:val="bullet"/>
      <w:lvlText w:val="•"/>
      <w:lvlJc w:val="left"/>
      <w:pPr>
        <w:tabs>
          <w:tab w:val="num" w:pos="4320"/>
        </w:tabs>
        <w:ind w:left="4320" w:hanging="360"/>
      </w:pPr>
      <w:rPr>
        <w:rFonts w:ascii="Times New Roman" w:hAnsi="Times New Roman" w:hint="default"/>
      </w:rPr>
    </w:lvl>
    <w:lvl w:ilvl="6" w:tplc="A5B6B19E" w:tentative="1">
      <w:start w:val="1"/>
      <w:numFmt w:val="bullet"/>
      <w:lvlText w:val="•"/>
      <w:lvlJc w:val="left"/>
      <w:pPr>
        <w:tabs>
          <w:tab w:val="num" w:pos="5040"/>
        </w:tabs>
        <w:ind w:left="5040" w:hanging="360"/>
      </w:pPr>
      <w:rPr>
        <w:rFonts w:ascii="Times New Roman" w:hAnsi="Times New Roman" w:hint="default"/>
      </w:rPr>
    </w:lvl>
    <w:lvl w:ilvl="7" w:tplc="92C663F2" w:tentative="1">
      <w:start w:val="1"/>
      <w:numFmt w:val="bullet"/>
      <w:lvlText w:val="•"/>
      <w:lvlJc w:val="left"/>
      <w:pPr>
        <w:tabs>
          <w:tab w:val="num" w:pos="5760"/>
        </w:tabs>
        <w:ind w:left="5760" w:hanging="360"/>
      </w:pPr>
      <w:rPr>
        <w:rFonts w:ascii="Times New Roman" w:hAnsi="Times New Roman" w:hint="default"/>
      </w:rPr>
    </w:lvl>
    <w:lvl w:ilvl="8" w:tplc="970080D0"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71C72F78"/>
    <w:multiLevelType w:val="hybridMultilevel"/>
    <w:tmpl w:val="884898F2"/>
    <w:lvl w:ilvl="0" w:tplc="18EA3A32">
      <w:start w:val="1"/>
      <w:numFmt w:val="bullet"/>
      <w:lvlText w:val="•"/>
      <w:lvlJc w:val="left"/>
      <w:pPr>
        <w:tabs>
          <w:tab w:val="num" w:pos="720"/>
        </w:tabs>
        <w:ind w:left="720" w:hanging="360"/>
      </w:pPr>
      <w:rPr>
        <w:rFonts w:ascii="Times New Roman" w:hAnsi="Times New Roman" w:hint="default"/>
      </w:rPr>
    </w:lvl>
    <w:lvl w:ilvl="1" w:tplc="2246313E" w:tentative="1">
      <w:start w:val="1"/>
      <w:numFmt w:val="bullet"/>
      <w:lvlText w:val="•"/>
      <w:lvlJc w:val="left"/>
      <w:pPr>
        <w:tabs>
          <w:tab w:val="num" w:pos="1440"/>
        </w:tabs>
        <w:ind w:left="1440" w:hanging="360"/>
      </w:pPr>
      <w:rPr>
        <w:rFonts w:ascii="Times New Roman" w:hAnsi="Times New Roman" w:hint="default"/>
      </w:rPr>
    </w:lvl>
    <w:lvl w:ilvl="2" w:tplc="74F41720" w:tentative="1">
      <w:start w:val="1"/>
      <w:numFmt w:val="bullet"/>
      <w:lvlText w:val="•"/>
      <w:lvlJc w:val="left"/>
      <w:pPr>
        <w:tabs>
          <w:tab w:val="num" w:pos="2160"/>
        </w:tabs>
        <w:ind w:left="2160" w:hanging="360"/>
      </w:pPr>
      <w:rPr>
        <w:rFonts w:ascii="Times New Roman" w:hAnsi="Times New Roman" w:hint="default"/>
      </w:rPr>
    </w:lvl>
    <w:lvl w:ilvl="3" w:tplc="7F8ECCCA" w:tentative="1">
      <w:start w:val="1"/>
      <w:numFmt w:val="bullet"/>
      <w:lvlText w:val="•"/>
      <w:lvlJc w:val="left"/>
      <w:pPr>
        <w:tabs>
          <w:tab w:val="num" w:pos="2880"/>
        </w:tabs>
        <w:ind w:left="2880" w:hanging="360"/>
      </w:pPr>
      <w:rPr>
        <w:rFonts w:ascii="Times New Roman" w:hAnsi="Times New Roman" w:hint="default"/>
      </w:rPr>
    </w:lvl>
    <w:lvl w:ilvl="4" w:tplc="01A0CEEE" w:tentative="1">
      <w:start w:val="1"/>
      <w:numFmt w:val="bullet"/>
      <w:lvlText w:val="•"/>
      <w:lvlJc w:val="left"/>
      <w:pPr>
        <w:tabs>
          <w:tab w:val="num" w:pos="3600"/>
        </w:tabs>
        <w:ind w:left="3600" w:hanging="360"/>
      </w:pPr>
      <w:rPr>
        <w:rFonts w:ascii="Times New Roman" w:hAnsi="Times New Roman" w:hint="default"/>
      </w:rPr>
    </w:lvl>
    <w:lvl w:ilvl="5" w:tplc="3DC4EA78" w:tentative="1">
      <w:start w:val="1"/>
      <w:numFmt w:val="bullet"/>
      <w:lvlText w:val="•"/>
      <w:lvlJc w:val="left"/>
      <w:pPr>
        <w:tabs>
          <w:tab w:val="num" w:pos="4320"/>
        </w:tabs>
        <w:ind w:left="4320" w:hanging="360"/>
      </w:pPr>
      <w:rPr>
        <w:rFonts w:ascii="Times New Roman" w:hAnsi="Times New Roman" w:hint="default"/>
      </w:rPr>
    </w:lvl>
    <w:lvl w:ilvl="6" w:tplc="9A6CCA6E" w:tentative="1">
      <w:start w:val="1"/>
      <w:numFmt w:val="bullet"/>
      <w:lvlText w:val="•"/>
      <w:lvlJc w:val="left"/>
      <w:pPr>
        <w:tabs>
          <w:tab w:val="num" w:pos="5040"/>
        </w:tabs>
        <w:ind w:left="5040" w:hanging="360"/>
      </w:pPr>
      <w:rPr>
        <w:rFonts w:ascii="Times New Roman" w:hAnsi="Times New Roman" w:hint="default"/>
      </w:rPr>
    </w:lvl>
    <w:lvl w:ilvl="7" w:tplc="9D18315E" w:tentative="1">
      <w:start w:val="1"/>
      <w:numFmt w:val="bullet"/>
      <w:lvlText w:val="•"/>
      <w:lvlJc w:val="left"/>
      <w:pPr>
        <w:tabs>
          <w:tab w:val="num" w:pos="5760"/>
        </w:tabs>
        <w:ind w:left="5760" w:hanging="360"/>
      </w:pPr>
      <w:rPr>
        <w:rFonts w:ascii="Times New Roman" w:hAnsi="Times New Roman" w:hint="default"/>
      </w:rPr>
    </w:lvl>
    <w:lvl w:ilvl="8" w:tplc="2DA0B31E"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72B83CEE"/>
    <w:multiLevelType w:val="multilevel"/>
    <w:tmpl w:val="6B1E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D9158B"/>
    <w:multiLevelType w:val="multilevel"/>
    <w:tmpl w:val="5566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705B45"/>
    <w:multiLevelType w:val="hybridMultilevel"/>
    <w:tmpl w:val="571A13CE"/>
    <w:lvl w:ilvl="0" w:tplc="4AC87146">
      <w:start w:val="1"/>
      <w:numFmt w:val="bullet"/>
      <w:lvlText w:val="•"/>
      <w:lvlJc w:val="left"/>
      <w:pPr>
        <w:tabs>
          <w:tab w:val="num" w:pos="720"/>
        </w:tabs>
        <w:ind w:left="720" w:hanging="360"/>
      </w:pPr>
      <w:rPr>
        <w:rFonts w:ascii="Times New Roman" w:hAnsi="Times New Roman" w:hint="default"/>
      </w:rPr>
    </w:lvl>
    <w:lvl w:ilvl="1" w:tplc="E2D0DD20" w:tentative="1">
      <w:start w:val="1"/>
      <w:numFmt w:val="bullet"/>
      <w:lvlText w:val="•"/>
      <w:lvlJc w:val="left"/>
      <w:pPr>
        <w:tabs>
          <w:tab w:val="num" w:pos="1440"/>
        </w:tabs>
        <w:ind w:left="1440" w:hanging="360"/>
      </w:pPr>
      <w:rPr>
        <w:rFonts w:ascii="Times New Roman" w:hAnsi="Times New Roman" w:hint="default"/>
      </w:rPr>
    </w:lvl>
    <w:lvl w:ilvl="2" w:tplc="AAD892C2" w:tentative="1">
      <w:start w:val="1"/>
      <w:numFmt w:val="bullet"/>
      <w:lvlText w:val="•"/>
      <w:lvlJc w:val="left"/>
      <w:pPr>
        <w:tabs>
          <w:tab w:val="num" w:pos="2160"/>
        </w:tabs>
        <w:ind w:left="2160" w:hanging="360"/>
      </w:pPr>
      <w:rPr>
        <w:rFonts w:ascii="Times New Roman" w:hAnsi="Times New Roman" w:hint="default"/>
      </w:rPr>
    </w:lvl>
    <w:lvl w:ilvl="3" w:tplc="B9486D9C" w:tentative="1">
      <w:start w:val="1"/>
      <w:numFmt w:val="bullet"/>
      <w:lvlText w:val="•"/>
      <w:lvlJc w:val="left"/>
      <w:pPr>
        <w:tabs>
          <w:tab w:val="num" w:pos="2880"/>
        </w:tabs>
        <w:ind w:left="2880" w:hanging="360"/>
      </w:pPr>
      <w:rPr>
        <w:rFonts w:ascii="Times New Roman" w:hAnsi="Times New Roman" w:hint="default"/>
      </w:rPr>
    </w:lvl>
    <w:lvl w:ilvl="4" w:tplc="58DED918" w:tentative="1">
      <w:start w:val="1"/>
      <w:numFmt w:val="bullet"/>
      <w:lvlText w:val="•"/>
      <w:lvlJc w:val="left"/>
      <w:pPr>
        <w:tabs>
          <w:tab w:val="num" w:pos="3600"/>
        </w:tabs>
        <w:ind w:left="3600" w:hanging="360"/>
      </w:pPr>
      <w:rPr>
        <w:rFonts w:ascii="Times New Roman" w:hAnsi="Times New Roman" w:hint="default"/>
      </w:rPr>
    </w:lvl>
    <w:lvl w:ilvl="5" w:tplc="1312FB7C" w:tentative="1">
      <w:start w:val="1"/>
      <w:numFmt w:val="bullet"/>
      <w:lvlText w:val="•"/>
      <w:lvlJc w:val="left"/>
      <w:pPr>
        <w:tabs>
          <w:tab w:val="num" w:pos="4320"/>
        </w:tabs>
        <w:ind w:left="4320" w:hanging="360"/>
      </w:pPr>
      <w:rPr>
        <w:rFonts w:ascii="Times New Roman" w:hAnsi="Times New Roman" w:hint="default"/>
      </w:rPr>
    </w:lvl>
    <w:lvl w:ilvl="6" w:tplc="4CE8E070" w:tentative="1">
      <w:start w:val="1"/>
      <w:numFmt w:val="bullet"/>
      <w:lvlText w:val="•"/>
      <w:lvlJc w:val="left"/>
      <w:pPr>
        <w:tabs>
          <w:tab w:val="num" w:pos="5040"/>
        </w:tabs>
        <w:ind w:left="5040" w:hanging="360"/>
      </w:pPr>
      <w:rPr>
        <w:rFonts w:ascii="Times New Roman" w:hAnsi="Times New Roman" w:hint="default"/>
      </w:rPr>
    </w:lvl>
    <w:lvl w:ilvl="7" w:tplc="D9D8C0A4" w:tentative="1">
      <w:start w:val="1"/>
      <w:numFmt w:val="bullet"/>
      <w:lvlText w:val="•"/>
      <w:lvlJc w:val="left"/>
      <w:pPr>
        <w:tabs>
          <w:tab w:val="num" w:pos="5760"/>
        </w:tabs>
        <w:ind w:left="5760" w:hanging="360"/>
      </w:pPr>
      <w:rPr>
        <w:rFonts w:ascii="Times New Roman" w:hAnsi="Times New Roman" w:hint="default"/>
      </w:rPr>
    </w:lvl>
    <w:lvl w:ilvl="8" w:tplc="E02C76F0"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7EE85867"/>
    <w:multiLevelType w:val="hybridMultilevel"/>
    <w:tmpl w:val="7FE03BC2"/>
    <w:lvl w:ilvl="0" w:tplc="DFA08634">
      <w:start w:val="1"/>
      <w:numFmt w:val="bullet"/>
      <w:lvlText w:val="•"/>
      <w:lvlJc w:val="left"/>
      <w:pPr>
        <w:tabs>
          <w:tab w:val="num" w:pos="720"/>
        </w:tabs>
        <w:ind w:left="720" w:hanging="360"/>
      </w:pPr>
      <w:rPr>
        <w:rFonts w:ascii="Times New Roman" w:hAnsi="Times New Roman" w:hint="default"/>
      </w:rPr>
    </w:lvl>
    <w:lvl w:ilvl="1" w:tplc="FF18DC6C" w:tentative="1">
      <w:start w:val="1"/>
      <w:numFmt w:val="bullet"/>
      <w:lvlText w:val="•"/>
      <w:lvlJc w:val="left"/>
      <w:pPr>
        <w:tabs>
          <w:tab w:val="num" w:pos="1440"/>
        </w:tabs>
        <w:ind w:left="1440" w:hanging="360"/>
      </w:pPr>
      <w:rPr>
        <w:rFonts w:ascii="Times New Roman" w:hAnsi="Times New Roman" w:hint="default"/>
      </w:rPr>
    </w:lvl>
    <w:lvl w:ilvl="2" w:tplc="A48E4456" w:tentative="1">
      <w:start w:val="1"/>
      <w:numFmt w:val="bullet"/>
      <w:lvlText w:val="•"/>
      <w:lvlJc w:val="left"/>
      <w:pPr>
        <w:tabs>
          <w:tab w:val="num" w:pos="2160"/>
        </w:tabs>
        <w:ind w:left="2160" w:hanging="360"/>
      </w:pPr>
      <w:rPr>
        <w:rFonts w:ascii="Times New Roman" w:hAnsi="Times New Roman" w:hint="default"/>
      </w:rPr>
    </w:lvl>
    <w:lvl w:ilvl="3" w:tplc="273A35B6" w:tentative="1">
      <w:start w:val="1"/>
      <w:numFmt w:val="bullet"/>
      <w:lvlText w:val="•"/>
      <w:lvlJc w:val="left"/>
      <w:pPr>
        <w:tabs>
          <w:tab w:val="num" w:pos="2880"/>
        </w:tabs>
        <w:ind w:left="2880" w:hanging="360"/>
      </w:pPr>
      <w:rPr>
        <w:rFonts w:ascii="Times New Roman" w:hAnsi="Times New Roman" w:hint="default"/>
      </w:rPr>
    </w:lvl>
    <w:lvl w:ilvl="4" w:tplc="D9008C60" w:tentative="1">
      <w:start w:val="1"/>
      <w:numFmt w:val="bullet"/>
      <w:lvlText w:val="•"/>
      <w:lvlJc w:val="left"/>
      <w:pPr>
        <w:tabs>
          <w:tab w:val="num" w:pos="3600"/>
        </w:tabs>
        <w:ind w:left="3600" w:hanging="360"/>
      </w:pPr>
      <w:rPr>
        <w:rFonts w:ascii="Times New Roman" w:hAnsi="Times New Roman" w:hint="default"/>
      </w:rPr>
    </w:lvl>
    <w:lvl w:ilvl="5" w:tplc="BD1EA68C" w:tentative="1">
      <w:start w:val="1"/>
      <w:numFmt w:val="bullet"/>
      <w:lvlText w:val="•"/>
      <w:lvlJc w:val="left"/>
      <w:pPr>
        <w:tabs>
          <w:tab w:val="num" w:pos="4320"/>
        </w:tabs>
        <w:ind w:left="4320" w:hanging="360"/>
      </w:pPr>
      <w:rPr>
        <w:rFonts w:ascii="Times New Roman" w:hAnsi="Times New Roman" w:hint="default"/>
      </w:rPr>
    </w:lvl>
    <w:lvl w:ilvl="6" w:tplc="FCC6D2EA" w:tentative="1">
      <w:start w:val="1"/>
      <w:numFmt w:val="bullet"/>
      <w:lvlText w:val="•"/>
      <w:lvlJc w:val="left"/>
      <w:pPr>
        <w:tabs>
          <w:tab w:val="num" w:pos="5040"/>
        </w:tabs>
        <w:ind w:left="5040" w:hanging="360"/>
      </w:pPr>
      <w:rPr>
        <w:rFonts w:ascii="Times New Roman" w:hAnsi="Times New Roman" w:hint="default"/>
      </w:rPr>
    </w:lvl>
    <w:lvl w:ilvl="7" w:tplc="EA766968" w:tentative="1">
      <w:start w:val="1"/>
      <w:numFmt w:val="bullet"/>
      <w:lvlText w:val="•"/>
      <w:lvlJc w:val="left"/>
      <w:pPr>
        <w:tabs>
          <w:tab w:val="num" w:pos="5760"/>
        </w:tabs>
        <w:ind w:left="5760" w:hanging="360"/>
      </w:pPr>
      <w:rPr>
        <w:rFonts w:ascii="Times New Roman" w:hAnsi="Times New Roman" w:hint="default"/>
      </w:rPr>
    </w:lvl>
    <w:lvl w:ilvl="8" w:tplc="14F41ACA" w:tentative="1">
      <w:start w:val="1"/>
      <w:numFmt w:val="bullet"/>
      <w:lvlText w:val="•"/>
      <w:lvlJc w:val="left"/>
      <w:pPr>
        <w:tabs>
          <w:tab w:val="num" w:pos="6480"/>
        </w:tabs>
        <w:ind w:left="6480" w:hanging="360"/>
      </w:pPr>
      <w:rPr>
        <w:rFonts w:ascii="Times New Roman" w:hAnsi="Times New Roman" w:hint="default"/>
      </w:rPr>
    </w:lvl>
  </w:abstractNum>
  <w:num w:numId="1" w16cid:durableId="629676926">
    <w:abstractNumId w:val="6"/>
  </w:num>
  <w:num w:numId="2" w16cid:durableId="1162501345">
    <w:abstractNumId w:val="13"/>
  </w:num>
  <w:num w:numId="3" w16cid:durableId="1247811752">
    <w:abstractNumId w:val="18"/>
  </w:num>
  <w:num w:numId="4" w16cid:durableId="977950269">
    <w:abstractNumId w:val="3"/>
  </w:num>
  <w:num w:numId="5" w16cid:durableId="1647858002">
    <w:abstractNumId w:val="15"/>
  </w:num>
  <w:num w:numId="6" w16cid:durableId="554463617">
    <w:abstractNumId w:val="10"/>
  </w:num>
  <w:num w:numId="7" w16cid:durableId="403527962">
    <w:abstractNumId w:val="20"/>
  </w:num>
  <w:num w:numId="8" w16cid:durableId="243759679">
    <w:abstractNumId w:val="4"/>
  </w:num>
  <w:num w:numId="9" w16cid:durableId="379718253">
    <w:abstractNumId w:val="21"/>
  </w:num>
  <w:num w:numId="10" w16cid:durableId="785270430">
    <w:abstractNumId w:val="11"/>
  </w:num>
  <w:num w:numId="11" w16cid:durableId="785540851">
    <w:abstractNumId w:val="12"/>
  </w:num>
  <w:num w:numId="12" w16cid:durableId="76557050">
    <w:abstractNumId w:val="0"/>
  </w:num>
  <w:num w:numId="13" w16cid:durableId="309948686">
    <w:abstractNumId w:val="19"/>
  </w:num>
  <w:num w:numId="14" w16cid:durableId="802113062">
    <w:abstractNumId w:val="14"/>
  </w:num>
  <w:num w:numId="15" w16cid:durableId="1134757297">
    <w:abstractNumId w:val="5"/>
  </w:num>
  <w:num w:numId="16" w16cid:durableId="746344248">
    <w:abstractNumId w:val="7"/>
  </w:num>
  <w:num w:numId="17" w16cid:durableId="458111185">
    <w:abstractNumId w:val="9"/>
  </w:num>
  <w:num w:numId="18" w16cid:durableId="13924831">
    <w:abstractNumId w:val="1"/>
  </w:num>
  <w:num w:numId="19" w16cid:durableId="347606611">
    <w:abstractNumId w:val="16"/>
  </w:num>
  <w:num w:numId="20" w16cid:durableId="491215415">
    <w:abstractNumId w:val="17"/>
  </w:num>
  <w:num w:numId="21" w16cid:durableId="14041313">
    <w:abstractNumId w:val="8"/>
  </w:num>
  <w:num w:numId="22" w16cid:durableId="331834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AC7"/>
    <w:rsid w:val="00033CF6"/>
    <w:rsid w:val="001025E5"/>
    <w:rsid w:val="00153AC7"/>
    <w:rsid w:val="0022712A"/>
    <w:rsid w:val="00255F79"/>
    <w:rsid w:val="002F30E6"/>
    <w:rsid w:val="003870ED"/>
    <w:rsid w:val="003A3079"/>
    <w:rsid w:val="004504BD"/>
    <w:rsid w:val="00451BB2"/>
    <w:rsid w:val="00462304"/>
    <w:rsid w:val="00562F3C"/>
    <w:rsid w:val="00562FE7"/>
    <w:rsid w:val="00565204"/>
    <w:rsid w:val="00596059"/>
    <w:rsid w:val="005D28B5"/>
    <w:rsid w:val="006100D5"/>
    <w:rsid w:val="006217B4"/>
    <w:rsid w:val="00657177"/>
    <w:rsid w:val="006D0A52"/>
    <w:rsid w:val="0071349F"/>
    <w:rsid w:val="007D3AFE"/>
    <w:rsid w:val="007E7072"/>
    <w:rsid w:val="00806FF8"/>
    <w:rsid w:val="0083091A"/>
    <w:rsid w:val="00840955"/>
    <w:rsid w:val="008C6D17"/>
    <w:rsid w:val="008E14F5"/>
    <w:rsid w:val="00931760"/>
    <w:rsid w:val="00952CC1"/>
    <w:rsid w:val="00960193"/>
    <w:rsid w:val="00991916"/>
    <w:rsid w:val="009C23A0"/>
    <w:rsid w:val="00AB3589"/>
    <w:rsid w:val="00AC156D"/>
    <w:rsid w:val="00AE05F7"/>
    <w:rsid w:val="00B6174E"/>
    <w:rsid w:val="00BA74DB"/>
    <w:rsid w:val="00C7457B"/>
    <w:rsid w:val="00CA343B"/>
    <w:rsid w:val="00CC4FE7"/>
    <w:rsid w:val="00D055F7"/>
    <w:rsid w:val="00D2194E"/>
    <w:rsid w:val="00D95D32"/>
    <w:rsid w:val="00DC6024"/>
    <w:rsid w:val="00E63185"/>
    <w:rsid w:val="00EA4644"/>
    <w:rsid w:val="00EF1FFC"/>
    <w:rsid w:val="00EF297D"/>
    <w:rsid w:val="00F12525"/>
    <w:rsid w:val="00FC2CD7"/>
    <w:rsid w:val="00FC7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5D47F"/>
  <w15:chartTrackingRefBased/>
  <w15:docId w15:val="{498AB9A2-136A-4C72-9418-7EC357FA6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A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A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A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A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A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A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3A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3A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3A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A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AC7"/>
    <w:rPr>
      <w:rFonts w:eastAsiaTheme="majorEastAsia" w:cstheme="majorBidi"/>
      <w:color w:val="272727" w:themeColor="text1" w:themeTint="D8"/>
    </w:rPr>
  </w:style>
  <w:style w:type="paragraph" w:styleId="Title">
    <w:name w:val="Title"/>
    <w:basedOn w:val="Normal"/>
    <w:next w:val="Normal"/>
    <w:link w:val="TitleChar"/>
    <w:uiPriority w:val="10"/>
    <w:qFormat/>
    <w:rsid w:val="00153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AC7"/>
    <w:pPr>
      <w:spacing w:before="160"/>
      <w:jc w:val="center"/>
    </w:pPr>
    <w:rPr>
      <w:i/>
      <w:iCs/>
      <w:color w:val="404040" w:themeColor="text1" w:themeTint="BF"/>
    </w:rPr>
  </w:style>
  <w:style w:type="character" w:customStyle="1" w:styleId="QuoteChar">
    <w:name w:val="Quote Char"/>
    <w:basedOn w:val="DefaultParagraphFont"/>
    <w:link w:val="Quote"/>
    <w:uiPriority w:val="29"/>
    <w:rsid w:val="00153AC7"/>
    <w:rPr>
      <w:i/>
      <w:iCs/>
      <w:color w:val="404040" w:themeColor="text1" w:themeTint="BF"/>
    </w:rPr>
  </w:style>
  <w:style w:type="paragraph" w:styleId="ListParagraph">
    <w:name w:val="List Paragraph"/>
    <w:basedOn w:val="Normal"/>
    <w:uiPriority w:val="34"/>
    <w:qFormat/>
    <w:rsid w:val="00153AC7"/>
    <w:pPr>
      <w:ind w:left="720"/>
      <w:contextualSpacing/>
    </w:pPr>
  </w:style>
  <w:style w:type="character" w:styleId="IntenseEmphasis">
    <w:name w:val="Intense Emphasis"/>
    <w:basedOn w:val="DefaultParagraphFont"/>
    <w:uiPriority w:val="21"/>
    <w:qFormat/>
    <w:rsid w:val="00153AC7"/>
    <w:rPr>
      <w:i/>
      <w:iCs/>
      <w:color w:val="2F5496" w:themeColor="accent1" w:themeShade="BF"/>
    </w:rPr>
  </w:style>
  <w:style w:type="paragraph" w:styleId="IntenseQuote">
    <w:name w:val="Intense Quote"/>
    <w:basedOn w:val="Normal"/>
    <w:next w:val="Normal"/>
    <w:link w:val="IntenseQuoteChar"/>
    <w:uiPriority w:val="30"/>
    <w:qFormat/>
    <w:rsid w:val="00153A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AC7"/>
    <w:rPr>
      <w:i/>
      <w:iCs/>
      <w:color w:val="2F5496" w:themeColor="accent1" w:themeShade="BF"/>
    </w:rPr>
  </w:style>
  <w:style w:type="character" w:styleId="IntenseReference">
    <w:name w:val="Intense Reference"/>
    <w:basedOn w:val="DefaultParagraphFont"/>
    <w:uiPriority w:val="32"/>
    <w:qFormat/>
    <w:rsid w:val="00153AC7"/>
    <w:rPr>
      <w:b/>
      <w:bCs/>
      <w:smallCaps/>
      <w:color w:val="2F5496" w:themeColor="accent1" w:themeShade="BF"/>
      <w:spacing w:val="5"/>
    </w:rPr>
  </w:style>
  <w:style w:type="character" w:styleId="Hyperlink">
    <w:name w:val="Hyperlink"/>
    <w:basedOn w:val="DefaultParagraphFont"/>
    <w:uiPriority w:val="99"/>
    <w:unhideWhenUsed/>
    <w:rsid w:val="001025E5"/>
    <w:rPr>
      <w:color w:val="0563C1" w:themeColor="hyperlink"/>
      <w:u w:val="single"/>
    </w:rPr>
  </w:style>
  <w:style w:type="character" w:styleId="UnresolvedMention">
    <w:name w:val="Unresolved Mention"/>
    <w:basedOn w:val="DefaultParagraphFont"/>
    <w:uiPriority w:val="99"/>
    <w:semiHidden/>
    <w:unhideWhenUsed/>
    <w:rsid w:val="001025E5"/>
    <w:rPr>
      <w:color w:val="605E5C"/>
      <w:shd w:val="clear" w:color="auto" w:fill="E1DFDD"/>
    </w:rPr>
  </w:style>
  <w:style w:type="paragraph" w:styleId="NoSpacing">
    <w:name w:val="No Spacing"/>
    <w:uiPriority w:val="1"/>
    <w:qFormat/>
    <w:rsid w:val="006217B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6248">
      <w:bodyDiv w:val="1"/>
      <w:marLeft w:val="0"/>
      <w:marRight w:val="0"/>
      <w:marTop w:val="0"/>
      <w:marBottom w:val="0"/>
      <w:divBdr>
        <w:top w:val="none" w:sz="0" w:space="0" w:color="auto"/>
        <w:left w:val="none" w:sz="0" w:space="0" w:color="auto"/>
        <w:bottom w:val="none" w:sz="0" w:space="0" w:color="auto"/>
        <w:right w:val="none" w:sz="0" w:space="0" w:color="auto"/>
      </w:divBdr>
    </w:div>
    <w:div w:id="76755784">
      <w:bodyDiv w:val="1"/>
      <w:marLeft w:val="0"/>
      <w:marRight w:val="0"/>
      <w:marTop w:val="0"/>
      <w:marBottom w:val="0"/>
      <w:divBdr>
        <w:top w:val="none" w:sz="0" w:space="0" w:color="auto"/>
        <w:left w:val="none" w:sz="0" w:space="0" w:color="auto"/>
        <w:bottom w:val="none" w:sz="0" w:space="0" w:color="auto"/>
        <w:right w:val="none" w:sz="0" w:space="0" w:color="auto"/>
      </w:divBdr>
    </w:div>
    <w:div w:id="141431608">
      <w:bodyDiv w:val="1"/>
      <w:marLeft w:val="0"/>
      <w:marRight w:val="0"/>
      <w:marTop w:val="0"/>
      <w:marBottom w:val="0"/>
      <w:divBdr>
        <w:top w:val="none" w:sz="0" w:space="0" w:color="auto"/>
        <w:left w:val="none" w:sz="0" w:space="0" w:color="auto"/>
        <w:bottom w:val="none" w:sz="0" w:space="0" w:color="auto"/>
        <w:right w:val="none" w:sz="0" w:space="0" w:color="auto"/>
      </w:divBdr>
    </w:div>
    <w:div w:id="150173188">
      <w:bodyDiv w:val="1"/>
      <w:marLeft w:val="0"/>
      <w:marRight w:val="0"/>
      <w:marTop w:val="0"/>
      <w:marBottom w:val="0"/>
      <w:divBdr>
        <w:top w:val="none" w:sz="0" w:space="0" w:color="auto"/>
        <w:left w:val="none" w:sz="0" w:space="0" w:color="auto"/>
        <w:bottom w:val="none" w:sz="0" w:space="0" w:color="auto"/>
        <w:right w:val="none" w:sz="0" w:space="0" w:color="auto"/>
      </w:divBdr>
    </w:div>
    <w:div w:id="199629302">
      <w:bodyDiv w:val="1"/>
      <w:marLeft w:val="0"/>
      <w:marRight w:val="0"/>
      <w:marTop w:val="0"/>
      <w:marBottom w:val="0"/>
      <w:divBdr>
        <w:top w:val="none" w:sz="0" w:space="0" w:color="auto"/>
        <w:left w:val="none" w:sz="0" w:space="0" w:color="auto"/>
        <w:bottom w:val="none" w:sz="0" w:space="0" w:color="auto"/>
        <w:right w:val="none" w:sz="0" w:space="0" w:color="auto"/>
      </w:divBdr>
    </w:div>
    <w:div w:id="203760392">
      <w:bodyDiv w:val="1"/>
      <w:marLeft w:val="0"/>
      <w:marRight w:val="0"/>
      <w:marTop w:val="0"/>
      <w:marBottom w:val="0"/>
      <w:divBdr>
        <w:top w:val="none" w:sz="0" w:space="0" w:color="auto"/>
        <w:left w:val="none" w:sz="0" w:space="0" w:color="auto"/>
        <w:bottom w:val="none" w:sz="0" w:space="0" w:color="auto"/>
        <w:right w:val="none" w:sz="0" w:space="0" w:color="auto"/>
      </w:divBdr>
    </w:div>
    <w:div w:id="277613250">
      <w:bodyDiv w:val="1"/>
      <w:marLeft w:val="0"/>
      <w:marRight w:val="0"/>
      <w:marTop w:val="0"/>
      <w:marBottom w:val="0"/>
      <w:divBdr>
        <w:top w:val="none" w:sz="0" w:space="0" w:color="auto"/>
        <w:left w:val="none" w:sz="0" w:space="0" w:color="auto"/>
        <w:bottom w:val="none" w:sz="0" w:space="0" w:color="auto"/>
        <w:right w:val="none" w:sz="0" w:space="0" w:color="auto"/>
      </w:divBdr>
      <w:divsChild>
        <w:div w:id="1128620573">
          <w:marLeft w:val="547"/>
          <w:marRight w:val="0"/>
          <w:marTop w:val="0"/>
          <w:marBottom w:val="0"/>
          <w:divBdr>
            <w:top w:val="none" w:sz="0" w:space="0" w:color="auto"/>
            <w:left w:val="none" w:sz="0" w:space="0" w:color="auto"/>
            <w:bottom w:val="none" w:sz="0" w:space="0" w:color="auto"/>
            <w:right w:val="none" w:sz="0" w:space="0" w:color="auto"/>
          </w:divBdr>
        </w:div>
      </w:divsChild>
    </w:div>
    <w:div w:id="355814092">
      <w:bodyDiv w:val="1"/>
      <w:marLeft w:val="0"/>
      <w:marRight w:val="0"/>
      <w:marTop w:val="0"/>
      <w:marBottom w:val="0"/>
      <w:divBdr>
        <w:top w:val="none" w:sz="0" w:space="0" w:color="auto"/>
        <w:left w:val="none" w:sz="0" w:space="0" w:color="auto"/>
        <w:bottom w:val="none" w:sz="0" w:space="0" w:color="auto"/>
        <w:right w:val="none" w:sz="0" w:space="0" w:color="auto"/>
      </w:divBdr>
    </w:div>
    <w:div w:id="374502638">
      <w:bodyDiv w:val="1"/>
      <w:marLeft w:val="0"/>
      <w:marRight w:val="0"/>
      <w:marTop w:val="0"/>
      <w:marBottom w:val="0"/>
      <w:divBdr>
        <w:top w:val="none" w:sz="0" w:space="0" w:color="auto"/>
        <w:left w:val="none" w:sz="0" w:space="0" w:color="auto"/>
        <w:bottom w:val="none" w:sz="0" w:space="0" w:color="auto"/>
        <w:right w:val="none" w:sz="0" w:space="0" w:color="auto"/>
      </w:divBdr>
    </w:div>
    <w:div w:id="416754079">
      <w:bodyDiv w:val="1"/>
      <w:marLeft w:val="0"/>
      <w:marRight w:val="0"/>
      <w:marTop w:val="0"/>
      <w:marBottom w:val="0"/>
      <w:divBdr>
        <w:top w:val="none" w:sz="0" w:space="0" w:color="auto"/>
        <w:left w:val="none" w:sz="0" w:space="0" w:color="auto"/>
        <w:bottom w:val="none" w:sz="0" w:space="0" w:color="auto"/>
        <w:right w:val="none" w:sz="0" w:space="0" w:color="auto"/>
      </w:divBdr>
    </w:div>
    <w:div w:id="464006713">
      <w:bodyDiv w:val="1"/>
      <w:marLeft w:val="0"/>
      <w:marRight w:val="0"/>
      <w:marTop w:val="0"/>
      <w:marBottom w:val="0"/>
      <w:divBdr>
        <w:top w:val="none" w:sz="0" w:space="0" w:color="auto"/>
        <w:left w:val="none" w:sz="0" w:space="0" w:color="auto"/>
        <w:bottom w:val="none" w:sz="0" w:space="0" w:color="auto"/>
        <w:right w:val="none" w:sz="0" w:space="0" w:color="auto"/>
      </w:divBdr>
    </w:div>
    <w:div w:id="521869614">
      <w:bodyDiv w:val="1"/>
      <w:marLeft w:val="0"/>
      <w:marRight w:val="0"/>
      <w:marTop w:val="0"/>
      <w:marBottom w:val="0"/>
      <w:divBdr>
        <w:top w:val="none" w:sz="0" w:space="0" w:color="auto"/>
        <w:left w:val="none" w:sz="0" w:space="0" w:color="auto"/>
        <w:bottom w:val="none" w:sz="0" w:space="0" w:color="auto"/>
        <w:right w:val="none" w:sz="0" w:space="0" w:color="auto"/>
      </w:divBdr>
      <w:divsChild>
        <w:div w:id="157774276">
          <w:marLeft w:val="0"/>
          <w:marRight w:val="0"/>
          <w:marTop w:val="0"/>
          <w:marBottom w:val="0"/>
          <w:divBdr>
            <w:top w:val="none" w:sz="0" w:space="0" w:color="auto"/>
            <w:left w:val="none" w:sz="0" w:space="0" w:color="auto"/>
            <w:bottom w:val="none" w:sz="0" w:space="0" w:color="auto"/>
            <w:right w:val="none" w:sz="0" w:space="0" w:color="auto"/>
          </w:divBdr>
        </w:div>
        <w:div w:id="369498738">
          <w:marLeft w:val="0"/>
          <w:marRight w:val="0"/>
          <w:marTop w:val="0"/>
          <w:marBottom w:val="0"/>
          <w:divBdr>
            <w:top w:val="none" w:sz="0" w:space="0" w:color="auto"/>
            <w:left w:val="none" w:sz="0" w:space="0" w:color="auto"/>
            <w:bottom w:val="none" w:sz="0" w:space="0" w:color="auto"/>
            <w:right w:val="none" w:sz="0" w:space="0" w:color="auto"/>
          </w:divBdr>
        </w:div>
        <w:div w:id="594753141">
          <w:marLeft w:val="0"/>
          <w:marRight w:val="0"/>
          <w:marTop w:val="0"/>
          <w:marBottom w:val="0"/>
          <w:divBdr>
            <w:top w:val="none" w:sz="0" w:space="0" w:color="auto"/>
            <w:left w:val="none" w:sz="0" w:space="0" w:color="auto"/>
            <w:bottom w:val="none" w:sz="0" w:space="0" w:color="auto"/>
            <w:right w:val="none" w:sz="0" w:space="0" w:color="auto"/>
          </w:divBdr>
        </w:div>
        <w:div w:id="470682521">
          <w:marLeft w:val="0"/>
          <w:marRight w:val="0"/>
          <w:marTop w:val="0"/>
          <w:marBottom w:val="0"/>
          <w:divBdr>
            <w:top w:val="none" w:sz="0" w:space="0" w:color="auto"/>
            <w:left w:val="none" w:sz="0" w:space="0" w:color="auto"/>
            <w:bottom w:val="none" w:sz="0" w:space="0" w:color="auto"/>
            <w:right w:val="none" w:sz="0" w:space="0" w:color="auto"/>
          </w:divBdr>
        </w:div>
        <w:div w:id="1796412692">
          <w:marLeft w:val="0"/>
          <w:marRight w:val="0"/>
          <w:marTop w:val="0"/>
          <w:marBottom w:val="0"/>
          <w:divBdr>
            <w:top w:val="none" w:sz="0" w:space="0" w:color="auto"/>
            <w:left w:val="none" w:sz="0" w:space="0" w:color="auto"/>
            <w:bottom w:val="none" w:sz="0" w:space="0" w:color="auto"/>
            <w:right w:val="none" w:sz="0" w:space="0" w:color="auto"/>
          </w:divBdr>
        </w:div>
      </w:divsChild>
    </w:div>
    <w:div w:id="546261528">
      <w:bodyDiv w:val="1"/>
      <w:marLeft w:val="0"/>
      <w:marRight w:val="0"/>
      <w:marTop w:val="0"/>
      <w:marBottom w:val="0"/>
      <w:divBdr>
        <w:top w:val="none" w:sz="0" w:space="0" w:color="auto"/>
        <w:left w:val="none" w:sz="0" w:space="0" w:color="auto"/>
        <w:bottom w:val="none" w:sz="0" w:space="0" w:color="auto"/>
        <w:right w:val="none" w:sz="0" w:space="0" w:color="auto"/>
      </w:divBdr>
      <w:divsChild>
        <w:div w:id="580985566">
          <w:marLeft w:val="547"/>
          <w:marRight w:val="0"/>
          <w:marTop w:val="0"/>
          <w:marBottom w:val="0"/>
          <w:divBdr>
            <w:top w:val="none" w:sz="0" w:space="0" w:color="auto"/>
            <w:left w:val="none" w:sz="0" w:space="0" w:color="auto"/>
            <w:bottom w:val="none" w:sz="0" w:space="0" w:color="auto"/>
            <w:right w:val="none" w:sz="0" w:space="0" w:color="auto"/>
          </w:divBdr>
        </w:div>
      </w:divsChild>
    </w:div>
    <w:div w:id="570654520">
      <w:bodyDiv w:val="1"/>
      <w:marLeft w:val="0"/>
      <w:marRight w:val="0"/>
      <w:marTop w:val="0"/>
      <w:marBottom w:val="0"/>
      <w:divBdr>
        <w:top w:val="none" w:sz="0" w:space="0" w:color="auto"/>
        <w:left w:val="none" w:sz="0" w:space="0" w:color="auto"/>
        <w:bottom w:val="none" w:sz="0" w:space="0" w:color="auto"/>
        <w:right w:val="none" w:sz="0" w:space="0" w:color="auto"/>
      </w:divBdr>
    </w:div>
    <w:div w:id="581910135">
      <w:bodyDiv w:val="1"/>
      <w:marLeft w:val="0"/>
      <w:marRight w:val="0"/>
      <w:marTop w:val="0"/>
      <w:marBottom w:val="0"/>
      <w:divBdr>
        <w:top w:val="none" w:sz="0" w:space="0" w:color="auto"/>
        <w:left w:val="none" w:sz="0" w:space="0" w:color="auto"/>
        <w:bottom w:val="none" w:sz="0" w:space="0" w:color="auto"/>
        <w:right w:val="none" w:sz="0" w:space="0" w:color="auto"/>
      </w:divBdr>
    </w:div>
    <w:div w:id="595208753">
      <w:bodyDiv w:val="1"/>
      <w:marLeft w:val="0"/>
      <w:marRight w:val="0"/>
      <w:marTop w:val="0"/>
      <w:marBottom w:val="0"/>
      <w:divBdr>
        <w:top w:val="none" w:sz="0" w:space="0" w:color="auto"/>
        <w:left w:val="none" w:sz="0" w:space="0" w:color="auto"/>
        <w:bottom w:val="none" w:sz="0" w:space="0" w:color="auto"/>
        <w:right w:val="none" w:sz="0" w:space="0" w:color="auto"/>
      </w:divBdr>
      <w:divsChild>
        <w:div w:id="1852375334">
          <w:marLeft w:val="547"/>
          <w:marRight w:val="0"/>
          <w:marTop w:val="0"/>
          <w:marBottom w:val="0"/>
          <w:divBdr>
            <w:top w:val="none" w:sz="0" w:space="0" w:color="auto"/>
            <w:left w:val="none" w:sz="0" w:space="0" w:color="auto"/>
            <w:bottom w:val="none" w:sz="0" w:space="0" w:color="auto"/>
            <w:right w:val="none" w:sz="0" w:space="0" w:color="auto"/>
          </w:divBdr>
        </w:div>
      </w:divsChild>
    </w:div>
    <w:div w:id="766465281">
      <w:bodyDiv w:val="1"/>
      <w:marLeft w:val="0"/>
      <w:marRight w:val="0"/>
      <w:marTop w:val="0"/>
      <w:marBottom w:val="0"/>
      <w:divBdr>
        <w:top w:val="none" w:sz="0" w:space="0" w:color="auto"/>
        <w:left w:val="none" w:sz="0" w:space="0" w:color="auto"/>
        <w:bottom w:val="none" w:sz="0" w:space="0" w:color="auto"/>
        <w:right w:val="none" w:sz="0" w:space="0" w:color="auto"/>
      </w:divBdr>
    </w:div>
    <w:div w:id="782919822">
      <w:bodyDiv w:val="1"/>
      <w:marLeft w:val="0"/>
      <w:marRight w:val="0"/>
      <w:marTop w:val="0"/>
      <w:marBottom w:val="0"/>
      <w:divBdr>
        <w:top w:val="none" w:sz="0" w:space="0" w:color="auto"/>
        <w:left w:val="none" w:sz="0" w:space="0" w:color="auto"/>
        <w:bottom w:val="none" w:sz="0" w:space="0" w:color="auto"/>
        <w:right w:val="none" w:sz="0" w:space="0" w:color="auto"/>
      </w:divBdr>
      <w:divsChild>
        <w:div w:id="1096825097">
          <w:marLeft w:val="547"/>
          <w:marRight w:val="0"/>
          <w:marTop w:val="0"/>
          <w:marBottom w:val="0"/>
          <w:divBdr>
            <w:top w:val="none" w:sz="0" w:space="0" w:color="auto"/>
            <w:left w:val="none" w:sz="0" w:space="0" w:color="auto"/>
            <w:bottom w:val="none" w:sz="0" w:space="0" w:color="auto"/>
            <w:right w:val="none" w:sz="0" w:space="0" w:color="auto"/>
          </w:divBdr>
        </w:div>
      </w:divsChild>
    </w:div>
    <w:div w:id="808865515">
      <w:bodyDiv w:val="1"/>
      <w:marLeft w:val="0"/>
      <w:marRight w:val="0"/>
      <w:marTop w:val="0"/>
      <w:marBottom w:val="0"/>
      <w:divBdr>
        <w:top w:val="none" w:sz="0" w:space="0" w:color="auto"/>
        <w:left w:val="none" w:sz="0" w:space="0" w:color="auto"/>
        <w:bottom w:val="none" w:sz="0" w:space="0" w:color="auto"/>
        <w:right w:val="none" w:sz="0" w:space="0" w:color="auto"/>
      </w:divBdr>
    </w:div>
    <w:div w:id="839195847">
      <w:bodyDiv w:val="1"/>
      <w:marLeft w:val="0"/>
      <w:marRight w:val="0"/>
      <w:marTop w:val="0"/>
      <w:marBottom w:val="0"/>
      <w:divBdr>
        <w:top w:val="none" w:sz="0" w:space="0" w:color="auto"/>
        <w:left w:val="none" w:sz="0" w:space="0" w:color="auto"/>
        <w:bottom w:val="none" w:sz="0" w:space="0" w:color="auto"/>
        <w:right w:val="none" w:sz="0" w:space="0" w:color="auto"/>
      </w:divBdr>
    </w:div>
    <w:div w:id="842284189">
      <w:bodyDiv w:val="1"/>
      <w:marLeft w:val="0"/>
      <w:marRight w:val="0"/>
      <w:marTop w:val="0"/>
      <w:marBottom w:val="0"/>
      <w:divBdr>
        <w:top w:val="none" w:sz="0" w:space="0" w:color="auto"/>
        <w:left w:val="none" w:sz="0" w:space="0" w:color="auto"/>
        <w:bottom w:val="none" w:sz="0" w:space="0" w:color="auto"/>
        <w:right w:val="none" w:sz="0" w:space="0" w:color="auto"/>
      </w:divBdr>
    </w:div>
    <w:div w:id="856042154">
      <w:bodyDiv w:val="1"/>
      <w:marLeft w:val="0"/>
      <w:marRight w:val="0"/>
      <w:marTop w:val="0"/>
      <w:marBottom w:val="0"/>
      <w:divBdr>
        <w:top w:val="none" w:sz="0" w:space="0" w:color="auto"/>
        <w:left w:val="none" w:sz="0" w:space="0" w:color="auto"/>
        <w:bottom w:val="none" w:sz="0" w:space="0" w:color="auto"/>
        <w:right w:val="none" w:sz="0" w:space="0" w:color="auto"/>
      </w:divBdr>
    </w:div>
    <w:div w:id="897401342">
      <w:bodyDiv w:val="1"/>
      <w:marLeft w:val="0"/>
      <w:marRight w:val="0"/>
      <w:marTop w:val="0"/>
      <w:marBottom w:val="0"/>
      <w:divBdr>
        <w:top w:val="none" w:sz="0" w:space="0" w:color="auto"/>
        <w:left w:val="none" w:sz="0" w:space="0" w:color="auto"/>
        <w:bottom w:val="none" w:sz="0" w:space="0" w:color="auto"/>
        <w:right w:val="none" w:sz="0" w:space="0" w:color="auto"/>
      </w:divBdr>
    </w:div>
    <w:div w:id="969286803">
      <w:bodyDiv w:val="1"/>
      <w:marLeft w:val="0"/>
      <w:marRight w:val="0"/>
      <w:marTop w:val="0"/>
      <w:marBottom w:val="0"/>
      <w:divBdr>
        <w:top w:val="none" w:sz="0" w:space="0" w:color="auto"/>
        <w:left w:val="none" w:sz="0" w:space="0" w:color="auto"/>
        <w:bottom w:val="none" w:sz="0" w:space="0" w:color="auto"/>
        <w:right w:val="none" w:sz="0" w:space="0" w:color="auto"/>
      </w:divBdr>
    </w:div>
    <w:div w:id="990401660">
      <w:bodyDiv w:val="1"/>
      <w:marLeft w:val="0"/>
      <w:marRight w:val="0"/>
      <w:marTop w:val="0"/>
      <w:marBottom w:val="0"/>
      <w:divBdr>
        <w:top w:val="none" w:sz="0" w:space="0" w:color="auto"/>
        <w:left w:val="none" w:sz="0" w:space="0" w:color="auto"/>
        <w:bottom w:val="none" w:sz="0" w:space="0" w:color="auto"/>
        <w:right w:val="none" w:sz="0" w:space="0" w:color="auto"/>
      </w:divBdr>
    </w:div>
    <w:div w:id="1002859234">
      <w:bodyDiv w:val="1"/>
      <w:marLeft w:val="0"/>
      <w:marRight w:val="0"/>
      <w:marTop w:val="0"/>
      <w:marBottom w:val="0"/>
      <w:divBdr>
        <w:top w:val="none" w:sz="0" w:space="0" w:color="auto"/>
        <w:left w:val="none" w:sz="0" w:space="0" w:color="auto"/>
        <w:bottom w:val="none" w:sz="0" w:space="0" w:color="auto"/>
        <w:right w:val="none" w:sz="0" w:space="0" w:color="auto"/>
      </w:divBdr>
      <w:divsChild>
        <w:div w:id="215555633">
          <w:marLeft w:val="547"/>
          <w:marRight w:val="0"/>
          <w:marTop w:val="0"/>
          <w:marBottom w:val="0"/>
          <w:divBdr>
            <w:top w:val="none" w:sz="0" w:space="0" w:color="auto"/>
            <w:left w:val="none" w:sz="0" w:space="0" w:color="auto"/>
            <w:bottom w:val="none" w:sz="0" w:space="0" w:color="auto"/>
            <w:right w:val="none" w:sz="0" w:space="0" w:color="auto"/>
          </w:divBdr>
        </w:div>
      </w:divsChild>
    </w:div>
    <w:div w:id="1149246976">
      <w:bodyDiv w:val="1"/>
      <w:marLeft w:val="0"/>
      <w:marRight w:val="0"/>
      <w:marTop w:val="0"/>
      <w:marBottom w:val="0"/>
      <w:divBdr>
        <w:top w:val="none" w:sz="0" w:space="0" w:color="auto"/>
        <w:left w:val="none" w:sz="0" w:space="0" w:color="auto"/>
        <w:bottom w:val="none" w:sz="0" w:space="0" w:color="auto"/>
        <w:right w:val="none" w:sz="0" w:space="0" w:color="auto"/>
      </w:divBdr>
    </w:div>
    <w:div w:id="1159922945">
      <w:bodyDiv w:val="1"/>
      <w:marLeft w:val="0"/>
      <w:marRight w:val="0"/>
      <w:marTop w:val="0"/>
      <w:marBottom w:val="0"/>
      <w:divBdr>
        <w:top w:val="none" w:sz="0" w:space="0" w:color="auto"/>
        <w:left w:val="none" w:sz="0" w:space="0" w:color="auto"/>
        <w:bottom w:val="none" w:sz="0" w:space="0" w:color="auto"/>
        <w:right w:val="none" w:sz="0" w:space="0" w:color="auto"/>
      </w:divBdr>
      <w:divsChild>
        <w:div w:id="45568920">
          <w:marLeft w:val="0"/>
          <w:marRight w:val="0"/>
          <w:marTop w:val="0"/>
          <w:marBottom w:val="0"/>
          <w:divBdr>
            <w:top w:val="none" w:sz="0" w:space="0" w:color="auto"/>
            <w:left w:val="none" w:sz="0" w:space="0" w:color="auto"/>
            <w:bottom w:val="none" w:sz="0" w:space="0" w:color="auto"/>
            <w:right w:val="none" w:sz="0" w:space="0" w:color="auto"/>
          </w:divBdr>
        </w:div>
        <w:div w:id="98180247">
          <w:marLeft w:val="0"/>
          <w:marRight w:val="0"/>
          <w:marTop w:val="0"/>
          <w:marBottom w:val="0"/>
          <w:divBdr>
            <w:top w:val="none" w:sz="0" w:space="0" w:color="auto"/>
            <w:left w:val="none" w:sz="0" w:space="0" w:color="auto"/>
            <w:bottom w:val="none" w:sz="0" w:space="0" w:color="auto"/>
            <w:right w:val="none" w:sz="0" w:space="0" w:color="auto"/>
          </w:divBdr>
        </w:div>
        <w:div w:id="1877162286">
          <w:marLeft w:val="0"/>
          <w:marRight w:val="0"/>
          <w:marTop w:val="0"/>
          <w:marBottom w:val="0"/>
          <w:divBdr>
            <w:top w:val="none" w:sz="0" w:space="0" w:color="auto"/>
            <w:left w:val="none" w:sz="0" w:space="0" w:color="auto"/>
            <w:bottom w:val="none" w:sz="0" w:space="0" w:color="auto"/>
            <w:right w:val="none" w:sz="0" w:space="0" w:color="auto"/>
          </w:divBdr>
        </w:div>
        <w:div w:id="243809487">
          <w:marLeft w:val="0"/>
          <w:marRight w:val="0"/>
          <w:marTop w:val="0"/>
          <w:marBottom w:val="0"/>
          <w:divBdr>
            <w:top w:val="none" w:sz="0" w:space="0" w:color="auto"/>
            <w:left w:val="none" w:sz="0" w:space="0" w:color="auto"/>
            <w:bottom w:val="none" w:sz="0" w:space="0" w:color="auto"/>
            <w:right w:val="none" w:sz="0" w:space="0" w:color="auto"/>
          </w:divBdr>
        </w:div>
        <w:div w:id="1737051997">
          <w:marLeft w:val="0"/>
          <w:marRight w:val="0"/>
          <w:marTop w:val="0"/>
          <w:marBottom w:val="0"/>
          <w:divBdr>
            <w:top w:val="none" w:sz="0" w:space="0" w:color="auto"/>
            <w:left w:val="none" w:sz="0" w:space="0" w:color="auto"/>
            <w:bottom w:val="none" w:sz="0" w:space="0" w:color="auto"/>
            <w:right w:val="none" w:sz="0" w:space="0" w:color="auto"/>
          </w:divBdr>
        </w:div>
      </w:divsChild>
    </w:div>
    <w:div w:id="1160849079">
      <w:bodyDiv w:val="1"/>
      <w:marLeft w:val="0"/>
      <w:marRight w:val="0"/>
      <w:marTop w:val="0"/>
      <w:marBottom w:val="0"/>
      <w:divBdr>
        <w:top w:val="none" w:sz="0" w:space="0" w:color="auto"/>
        <w:left w:val="none" w:sz="0" w:space="0" w:color="auto"/>
        <w:bottom w:val="none" w:sz="0" w:space="0" w:color="auto"/>
        <w:right w:val="none" w:sz="0" w:space="0" w:color="auto"/>
      </w:divBdr>
      <w:divsChild>
        <w:div w:id="1071925381">
          <w:marLeft w:val="547"/>
          <w:marRight w:val="0"/>
          <w:marTop w:val="0"/>
          <w:marBottom w:val="0"/>
          <w:divBdr>
            <w:top w:val="none" w:sz="0" w:space="0" w:color="auto"/>
            <w:left w:val="none" w:sz="0" w:space="0" w:color="auto"/>
            <w:bottom w:val="none" w:sz="0" w:space="0" w:color="auto"/>
            <w:right w:val="none" w:sz="0" w:space="0" w:color="auto"/>
          </w:divBdr>
        </w:div>
      </w:divsChild>
    </w:div>
    <w:div w:id="1194803550">
      <w:bodyDiv w:val="1"/>
      <w:marLeft w:val="0"/>
      <w:marRight w:val="0"/>
      <w:marTop w:val="0"/>
      <w:marBottom w:val="0"/>
      <w:divBdr>
        <w:top w:val="none" w:sz="0" w:space="0" w:color="auto"/>
        <w:left w:val="none" w:sz="0" w:space="0" w:color="auto"/>
        <w:bottom w:val="none" w:sz="0" w:space="0" w:color="auto"/>
        <w:right w:val="none" w:sz="0" w:space="0" w:color="auto"/>
      </w:divBdr>
    </w:div>
    <w:div w:id="1270696555">
      <w:bodyDiv w:val="1"/>
      <w:marLeft w:val="0"/>
      <w:marRight w:val="0"/>
      <w:marTop w:val="0"/>
      <w:marBottom w:val="0"/>
      <w:divBdr>
        <w:top w:val="none" w:sz="0" w:space="0" w:color="auto"/>
        <w:left w:val="none" w:sz="0" w:space="0" w:color="auto"/>
        <w:bottom w:val="none" w:sz="0" w:space="0" w:color="auto"/>
        <w:right w:val="none" w:sz="0" w:space="0" w:color="auto"/>
      </w:divBdr>
    </w:div>
    <w:div w:id="1275140009">
      <w:bodyDiv w:val="1"/>
      <w:marLeft w:val="0"/>
      <w:marRight w:val="0"/>
      <w:marTop w:val="0"/>
      <w:marBottom w:val="0"/>
      <w:divBdr>
        <w:top w:val="none" w:sz="0" w:space="0" w:color="auto"/>
        <w:left w:val="none" w:sz="0" w:space="0" w:color="auto"/>
        <w:bottom w:val="none" w:sz="0" w:space="0" w:color="auto"/>
        <w:right w:val="none" w:sz="0" w:space="0" w:color="auto"/>
      </w:divBdr>
    </w:div>
    <w:div w:id="1275555963">
      <w:bodyDiv w:val="1"/>
      <w:marLeft w:val="0"/>
      <w:marRight w:val="0"/>
      <w:marTop w:val="0"/>
      <w:marBottom w:val="0"/>
      <w:divBdr>
        <w:top w:val="none" w:sz="0" w:space="0" w:color="auto"/>
        <w:left w:val="none" w:sz="0" w:space="0" w:color="auto"/>
        <w:bottom w:val="none" w:sz="0" w:space="0" w:color="auto"/>
        <w:right w:val="none" w:sz="0" w:space="0" w:color="auto"/>
      </w:divBdr>
    </w:div>
    <w:div w:id="1341931763">
      <w:bodyDiv w:val="1"/>
      <w:marLeft w:val="0"/>
      <w:marRight w:val="0"/>
      <w:marTop w:val="0"/>
      <w:marBottom w:val="0"/>
      <w:divBdr>
        <w:top w:val="none" w:sz="0" w:space="0" w:color="auto"/>
        <w:left w:val="none" w:sz="0" w:space="0" w:color="auto"/>
        <w:bottom w:val="none" w:sz="0" w:space="0" w:color="auto"/>
        <w:right w:val="none" w:sz="0" w:space="0" w:color="auto"/>
      </w:divBdr>
    </w:div>
    <w:div w:id="1420247451">
      <w:bodyDiv w:val="1"/>
      <w:marLeft w:val="0"/>
      <w:marRight w:val="0"/>
      <w:marTop w:val="0"/>
      <w:marBottom w:val="0"/>
      <w:divBdr>
        <w:top w:val="none" w:sz="0" w:space="0" w:color="auto"/>
        <w:left w:val="none" w:sz="0" w:space="0" w:color="auto"/>
        <w:bottom w:val="none" w:sz="0" w:space="0" w:color="auto"/>
        <w:right w:val="none" w:sz="0" w:space="0" w:color="auto"/>
      </w:divBdr>
    </w:div>
    <w:div w:id="1449541655">
      <w:bodyDiv w:val="1"/>
      <w:marLeft w:val="0"/>
      <w:marRight w:val="0"/>
      <w:marTop w:val="0"/>
      <w:marBottom w:val="0"/>
      <w:divBdr>
        <w:top w:val="none" w:sz="0" w:space="0" w:color="auto"/>
        <w:left w:val="none" w:sz="0" w:space="0" w:color="auto"/>
        <w:bottom w:val="none" w:sz="0" w:space="0" w:color="auto"/>
        <w:right w:val="none" w:sz="0" w:space="0" w:color="auto"/>
      </w:divBdr>
    </w:div>
    <w:div w:id="1476682408">
      <w:bodyDiv w:val="1"/>
      <w:marLeft w:val="0"/>
      <w:marRight w:val="0"/>
      <w:marTop w:val="0"/>
      <w:marBottom w:val="0"/>
      <w:divBdr>
        <w:top w:val="none" w:sz="0" w:space="0" w:color="auto"/>
        <w:left w:val="none" w:sz="0" w:space="0" w:color="auto"/>
        <w:bottom w:val="none" w:sz="0" w:space="0" w:color="auto"/>
        <w:right w:val="none" w:sz="0" w:space="0" w:color="auto"/>
      </w:divBdr>
      <w:divsChild>
        <w:div w:id="914776553">
          <w:marLeft w:val="547"/>
          <w:marRight w:val="0"/>
          <w:marTop w:val="0"/>
          <w:marBottom w:val="0"/>
          <w:divBdr>
            <w:top w:val="none" w:sz="0" w:space="0" w:color="auto"/>
            <w:left w:val="none" w:sz="0" w:space="0" w:color="auto"/>
            <w:bottom w:val="none" w:sz="0" w:space="0" w:color="auto"/>
            <w:right w:val="none" w:sz="0" w:space="0" w:color="auto"/>
          </w:divBdr>
        </w:div>
      </w:divsChild>
    </w:div>
    <w:div w:id="1496415216">
      <w:bodyDiv w:val="1"/>
      <w:marLeft w:val="0"/>
      <w:marRight w:val="0"/>
      <w:marTop w:val="0"/>
      <w:marBottom w:val="0"/>
      <w:divBdr>
        <w:top w:val="none" w:sz="0" w:space="0" w:color="auto"/>
        <w:left w:val="none" w:sz="0" w:space="0" w:color="auto"/>
        <w:bottom w:val="none" w:sz="0" w:space="0" w:color="auto"/>
        <w:right w:val="none" w:sz="0" w:space="0" w:color="auto"/>
      </w:divBdr>
    </w:div>
    <w:div w:id="1507020182">
      <w:bodyDiv w:val="1"/>
      <w:marLeft w:val="0"/>
      <w:marRight w:val="0"/>
      <w:marTop w:val="0"/>
      <w:marBottom w:val="0"/>
      <w:divBdr>
        <w:top w:val="none" w:sz="0" w:space="0" w:color="auto"/>
        <w:left w:val="none" w:sz="0" w:space="0" w:color="auto"/>
        <w:bottom w:val="none" w:sz="0" w:space="0" w:color="auto"/>
        <w:right w:val="none" w:sz="0" w:space="0" w:color="auto"/>
      </w:divBdr>
    </w:div>
    <w:div w:id="1550997149">
      <w:bodyDiv w:val="1"/>
      <w:marLeft w:val="0"/>
      <w:marRight w:val="0"/>
      <w:marTop w:val="0"/>
      <w:marBottom w:val="0"/>
      <w:divBdr>
        <w:top w:val="none" w:sz="0" w:space="0" w:color="auto"/>
        <w:left w:val="none" w:sz="0" w:space="0" w:color="auto"/>
        <w:bottom w:val="none" w:sz="0" w:space="0" w:color="auto"/>
        <w:right w:val="none" w:sz="0" w:space="0" w:color="auto"/>
      </w:divBdr>
    </w:div>
    <w:div w:id="1562522629">
      <w:bodyDiv w:val="1"/>
      <w:marLeft w:val="0"/>
      <w:marRight w:val="0"/>
      <w:marTop w:val="0"/>
      <w:marBottom w:val="0"/>
      <w:divBdr>
        <w:top w:val="none" w:sz="0" w:space="0" w:color="auto"/>
        <w:left w:val="none" w:sz="0" w:space="0" w:color="auto"/>
        <w:bottom w:val="none" w:sz="0" w:space="0" w:color="auto"/>
        <w:right w:val="none" w:sz="0" w:space="0" w:color="auto"/>
      </w:divBdr>
      <w:divsChild>
        <w:div w:id="97794098">
          <w:marLeft w:val="547"/>
          <w:marRight w:val="0"/>
          <w:marTop w:val="0"/>
          <w:marBottom w:val="0"/>
          <w:divBdr>
            <w:top w:val="none" w:sz="0" w:space="0" w:color="auto"/>
            <w:left w:val="none" w:sz="0" w:space="0" w:color="auto"/>
            <w:bottom w:val="none" w:sz="0" w:space="0" w:color="auto"/>
            <w:right w:val="none" w:sz="0" w:space="0" w:color="auto"/>
          </w:divBdr>
        </w:div>
      </w:divsChild>
    </w:div>
    <w:div w:id="1597517204">
      <w:bodyDiv w:val="1"/>
      <w:marLeft w:val="0"/>
      <w:marRight w:val="0"/>
      <w:marTop w:val="0"/>
      <w:marBottom w:val="0"/>
      <w:divBdr>
        <w:top w:val="none" w:sz="0" w:space="0" w:color="auto"/>
        <w:left w:val="none" w:sz="0" w:space="0" w:color="auto"/>
        <w:bottom w:val="none" w:sz="0" w:space="0" w:color="auto"/>
        <w:right w:val="none" w:sz="0" w:space="0" w:color="auto"/>
      </w:divBdr>
    </w:div>
    <w:div w:id="1699694508">
      <w:bodyDiv w:val="1"/>
      <w:marLeft w:val="0"/>
      <w:marRight w:val="0"/>
      <w:marTop w:val="0"/>
      <w:marBottom w:val="0"/>
      <w:divBdr>
        <w:top w:val="none" w:sz="0" w:space="0" w:color="auto"/>
        <w:left w:val="none" w:sz="0" w:space="0" w:color="auto"/>
        <w:bottom w:val="none" w:sz="0" w:space="0" w:color="auto"/>
        <w:right w:val="none" w:sz="0" w:space="0" w:color="auto"/>
      </w:divBdr>
    </w:div>
    <w:div w:id="1814636798">
      <w:bodyDiv w:val="1"/>
      <w:marLeft w:val="0"/>
      <w:marRight w:val="0"/>
      <w:marTop w:val="0"/>
      <w:marBottom w:val="0"/>
      <w:divBdr>
        <w:top w:val="none" w:sz="0" w:space="0" w:color="auto"/>
        <w:left w:val="none" w:sz="0" w:space="0" w:color="auto"/>
        <w:bottom w:val="none" w:sz="0" w:space="0" w:color="auto"/>
        <w:right w:val="none" w:sz="0" w:space="0" w:color="auto"/>
      </w:divBdr>
    </w:div>
    <w:div w:id="1837501983">
      <w:bodyDiv w:val="1"/>
      <w:marLeft w:val="0"/>
      <w:marRight w:val="0"/>
      <w:marTop w:val="0"/>
      <w:marBottom w:val="0"/>
      <w:divBdr>
        <w:top w:val="none" w:sz="0" w:space="0" w:color="auto"/>
        <w:left w:val="none" w:sz="0" w:space="0" w:color="auto"/>
        <w:bottom w:val="none" w:sz="0" w:space="0" w:color="auto"/>
        <w:right w:val="none" w:sz="0" w:space="0" w:color="auto"/>
      </w:divBdr>
    </w:div>
    <w:div w:id="1849638184">
      <w:bodyDiv w:val="1"/>
      <w:marLeft w:val="0"/>
      <w:marRight w:val="0"/>
      <w:marTop w:val="0"/>
      <w:marBottom w:val="0"/>
      <w:divBdr>
        <w:top w:val="none" w:sz="0" w:space="0" w:color="auto"/>
        <w:left w:val="none" w:sz="0" w:space="0" w:color="auto"/>
        <w:bottom w:val="none" w:sz="0" w:space="0" w:color="auto"/>
        <w:right w:val="none" w:sz="0" w:space="0" w:color="auto"/>
      </w:divBdr>
    </w:div>
    <w:div w:id="1883056910">
      <w:bodyDiv w:val="1"/>
      <w:marLeft w:val="0"/>
      <w:marRight w:val="0"/>
      <w:marTop w:val="0"/>
      <w:marBottom w:val="0"/>
      <w:divBdr>
        <w:top w:val="none" w:sz="0" w:space="0" w:color="auto"/>
        <w:left w:val="none" w:sz="0" w:space="0" w:color="auto"/>
        <w:bottom w:val="none" w:sz="0" w:space="0" w:color="auto"/>
        <w:right w:val="none" w:sz="0" w:space="0" w:color="auto"/>
      </w:divBdr>
    </w:div>
    <w:div w:id="2067877368">
      <w:bodyDiv w:val="1"/>
      <w:marLeft w:val="0"/>
      <w:marRight w:val="0"/>
      <w:marTop w:val="0"/>
      <w:marBottom w:val="0"/>
      <w:divBdr>
        <w:top w:val="none" w:sz="0" w:space="0" w:color="auto"/>
        <w:left w:val="none" w:sz="0" w:space="0" w:color="auto"/>
        <w:bottom w:val="none" w:sz="0" w:space="0" w:color="auto"/>
        <w:right w:val="none" w:sz="0" w:space="0" w:color="auto"/>
      </w:divBdr>
    </w:div>
    <w:div w:id="2102289508">
      <w:bodyDiv w:val="1"/>
      <w:marLeft w:val="0"/>
      <w:marRight w:val="0"/>
      <w:marTop w:val="0"/>
      <w:marBottom w:val="0"/>
      <w:divBdr>
        <w:top w:val="none" w:sz="0" w:space="0" w:color="auto"/>
        <w:left w:val="none" w:sz="0" w:space="0" w:color="auto"/>
        <w:bottom w:val="none" w:sz="0" w:space="0" w:color="auto"/>
        <w:right w:val="none" w:sz="0" w:space="0" w:color="auto"/>
      </w:divBdr>
    </w:div>
    <w:div w:id="2113671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dc.gov/vitalsigns/rural-health/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ps.ahrq.gov/data_stats/download_data/pufs/h224/h224doc.pdf" TargetMode="External"/><Relationship Id="rId5" Type="http://schemas.openxmlformats.org/officeDocument/2006/relationships/hyperlink" Target="https://www.who.int/news-room/fact-sheets/detail/depress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771</TotalTime>
  <Pages>4</Pages>
  <Words>1548</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shruthika reddy</dc:creator>
  <cp:keywords/>
  <dc:description/>
  <cp:lastModifiedBy>shruthika reddy</cp:lastModifiedBy>
  <cp:revision>38</cp:revision>
  <dcterms:created xsi:type="dcterms:W3CDTF">2025-05-05T16:21:00Z</dcterms:created>
  <dcterms:modified xsi:type="dcterms:W3CDTF">2025-05-06T15:20:00Z</dcterms:modified>
</cp:coreProperties>
</file>