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6" w:name="Xd663178cb2c020f2bede1a3c6471d949ebcdc5f"/>
    <w:p>
      <w:pPr>
        <w:pStyle w:val="Heading1"/>
      </w:pPr>
      <w:r>
        <w:t xml:space="preserve">Coal Mine Governance and Compliance in India</w:t>
      </w:r>
    </w:p>
    <w:p>
      <w:pPr>
        <w:pStyle w:val="FirstParagraph"/>
      </w:pPr>
      <w:r>
        <w:rPr>
          <w:bCs/>
          <w:b/>
        </w:rPr>
        <w:t xml:space="preserve">Domain research brief for SIH26024 — AI-Based Smart Governance and Compliance Monitoring System for Coal Mines</w:t>
      </w:r>
      <w:r>
        <w:t xml:space="preserve"> </w:t>
      </w:r>
      <w:r>
        <w:t xml:space="preserve">Prepared for Team NeuraForge · Presidency University, Bengaluru</w:t>
      </w:r>
    </w:p>
    <w:p>
      <w:r>
        <w:pict>
          <v:rect style="width:0;height:1.5pt" o:hralign="center" o:hrstd="t" o:hr="t"/>
        </w:pict>
      </w:r>
    </w:p>
    <w:bookmarkStart w:id="20" w:name="how-to-read-this-document"/>
    <w:p>
      <w:pPr>
        <w:pStyle w:val="Heading2"/>
      </w:pPr>
      <w:r>
        <w:t xml:space="preserve">How to read this document</w:t>
      </w:r>
    </w:p>
    <w:p>
      <w:pPr>
        <w:pStyle w:val="FirstParagraph"/>
      </w:pPr>
      <w:r>
        <w:t xml:space="preserve">Every factual claim below carries its source. Where a figure is contested between government sources, both versions are given rather than one being chosen. Where something could not be verified from a primary source, it says so plainly. Anything marked</w:t>
      </w:r>
      <w:r>
        <w:t xml:space="preserve"> </w:t>
      </w:r>
      <w:r>
        <w:rPr>
          <w:bCs/>
          <w:b/>
        </w:rPr>
        <w:t xml:space="preserve">UNVERIFIED</w:t>
      </w:r>
      <w:r>
        <w:t xml:space="preserve"> </w:t>
      </w:r>
      <w:r>
        <w:t xml:space="preserve">should not be repeated to a judge until someone on the team has checked the original document.</w:t>
      </w:r>
    </w:p>
    <w:p>
      <w:pPr>
        <w:pStyle w:val="BodyText"/>
      </w:pPr>
      <w:r>
        <w:t xml:space="preserve">The research was done against primary sources where they were reachable: coal.gov.in, coal.nic.in, dgms.gov.in, cag.gov.in, pib.gov.in, indiacode.nic.in. Some government sites blocked automated access; those cases are flagged.</w:t>
      </w:r>
    </w:p>
    <w:p>
      <w:r>
        <w:pict>
          <v:rect style="width:0;height:1.5pt" o:hralign="center" o:hrstd="t" o:hr="t"/>
        </w:pict>
      </w:r>
    </w:p>
    <w:bookmarkEnd w:id="20"/>
    <w:bookmarkStart w:id="26" w:name="the-statutory-framework"/>
    <w:p>
      <w:pPr>
        <w:pStyle w:val="Heading2"/>
      </w:pPr>
      <w:r>
        <w:t xml:space="preserve">1. The statutory framework</w:t>
      </w:r>
    </w:p>
    <w:bookmarkStart w:id="21" w:name="what-is-actually-in-force"/>
    <w:p>
      <w:pPr>
        <w:pStyle w:val="Heading3"/>
      </w:pPr>
      <w:r>
        <w:t xml:space="preserve">1.1 What is actually in force</w:t>
      </w:r>
    </w:p>
    <w:p>
      <w:pPr>
        <w:pStyle w:val="FirstParagraph"/>
      </w:pPr>
      <w:r>
        <w:t xml:space="preserve">The</w:t>
      </w:r>
      <w:r>
        <w:t xml:space="preserve"> </w:t>
      </w:r>
      <w:r>
        <w:rPr>
          <w:bCs/>
          <w:b/>
        </w:rPr>
        <w:t xml:space="preserve">Mines Act, 1952</w:t>
      </w:r>
      <w:r>
        <w:t xml:space="preserve"> </w:t>
      </w:r>
      <w:r>
        <w:t xml:space="preserve">remains the governing statute today. It is one of thirteen labour laws listed for repeal in Section 143 of the</w:t>
      </w:r>
      <w:r>
        <w:t xml:space="preserve"> </w:t>
      </w:r>
      <w:r>
        <w:rPr>
          <w:bCs/>
          <w:b/>
        </w:rPr>
        <w:t xml:space="preserve">Occupational Safety, Health and Working Conditions Code, 2020</w:t>
      </w:r>
      <w:r>
        <w:t xml:space="preserve">, but Section 2(1) of the Code makes commencement conditional on a government notification that has not yet been issued.</w:t>
      </w:r>
    </w:p>
    <w:p>
      <w:pPr>
        <w:pStyle w:val="BodyText"/>
      </w:pPr>
      <w:r>
        <w:t xml:space="preserve">This matters more than it first appears. Any compliance system that hard-codes the current rules is on a countdown. A system that parses the statutory corpus can be handed the new Code and re-derive its obligation set. This is the single strongest argument for the Regulation-as-Code approach and it should be in the pitch.</w:t>
      </w:r>
    </w:p>
    <w:p>
      <w:pPr>
        <w:pStyle w:val="BodyText"/>
      </w:pPr>
      <w:r>
        <w:rPr>
          <w:iCs/>
          <w:i/>
        </w:rPr>
        <w:t xml:space="preserve">Source: OSH&amp;WC Code 2020 full text, indiacode.nic.in.</w:t>
      </w:r>
    </w:p>
    <w:p>
      <w:pPr>
        <w:pStyle w:val="BodyText"/>
      </w:pPr>
      <w:r>
        <w:rPr>
          <w:bCs/>
          <w:b/>
        </w:rPr>
        <w:t xml:space="preserve">UNVERIFIED:</w:t>
      </w:r>
      <w:r>
        <w:t xml:space="preserve"> </w:t>
      </w:r>
      <w:r>
        <w:t xml:space="preserve">Draft Occupational Safety, Health and Working Conditions (Coal Mines) Regulations, 2026 were reported as published on 28 January 2026 via gazette notification G.S.R. 67(E), open for 45 days of public comment, introducing a Board of Mining Examination and new certificate categories. This was found only on a secondary legal-commentary site. The gazette PDF itself could not be retrieved.</w:t>
      </w:r>
    </w:p>
    <w:bookmarkEnd w:id="21"/>
    <w:bookmarkStart w:id="22" w:name="X96758d95338ad554192dd5b81be4c6316a8f970"/>
    <w:p>
      <w:pPr>
        <w:pStyle w:val="Heading3"/>
      </w:pPr>
      <w:r>
        <w:t xml:space="preserve">1.2 The Mines Act, 1952 — the duties that matter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Section</w:t>
            </w:r>
          </w:p>
        </w:tc>
        <w:tc>
          <w:tcPr/>
          <w:p>
            <w:pPr>
              <w:pStyle w:val="Compact"/>
              <w:jc w:val="left"/>
            </w:pPr>
            <w:r>
              <w:t xml:space="preserve">Obligation</w:t>
            </w:r>
          </w:p>
        </w:tc>
      </w:tr>
      <w:tr>
        <w:tc>
          <w:tcPr/>
          <w:p>
            <w:pPr>
              <w:pStyle w:val="Compact"/>
              <w:jc w:val="left"/>
            </w:pPr>
            <w:r>
              <w:t xml:space="preserve">S.16</w:t>
            </w:r>
          </w:p>
        </w:tc>
        <w:tc>
          <w:tcPr/>
          <w:p>
            <w:pPr>
              <w:pStyle w:val="Compact"/>
              <w:jc w:val="left"/>
            </w:pPr>
            <w:r>
              <w:t xml:space="preserve">Written notice to the Chief Inspector, Controller of IBM and District Magistrate at least one month before opening a mine</w:t>
            </w:r>
          </w:p>
        </w:tc>
      </w:tr>
      <w:tr>
        <w:tc>
          <w:tcPr/>
          <w:p>
            <w:pPr>
              <w:pStyle w:val="Compact"/>
              <w:jc w:val="left"/>
            </w:pPr>
            <w:r>
              <w:t xml:space="preserve">S.17</w:t>
            </w:r>
          </w:p>
        </w:tc>
        <w:tc>
          <w:tcPr/>
          <w:p>
            <w:pPr>
              <w:pStyle w:val="Compact"/>
              <w:jc w:val="left"/>
            </w:pPr>
            <w:r>
              <w:t xml:space="preserve">Every mine must have a sole manager with prescribed qualifications</w:t>
            </w:r>
          </w:p>
        </w:tc>
      </w:tr>
      <w:tr>
        <w:tc>
          <w:tcPr/>
          <w:p>
            <w:pPr>
              <w:pStyle w:val="Compact"/>
              <w:jc w:val="left"/>
            </w:pPr>
            <w:r>
              <w:t xml:space="preserve">S.18</w:t>
            </w:r>
          </w:p>
        </w:tc>
        <w:tc>
          <w:tcPr/>
          <w:p>
            <w:pPr>
              <w:pStyle w:val="Compact"/>
              <w:jc w:val="left"/>
            </w:pPr>
            <w:r>
              <w:t xml:space="preserve">Owner, agent</w:t>
            </w:r>
            <w:r>
              <w:t xml:space="preserve"> </w:t>
            </w:r>
            <w:r>
              <w:rPr>
                <w:bCs/>
                <w:b/>
              </w:rPr>
              <w:t xml:space="preserve">and</w:t>
            </w:r>
            <w:r>
              <w:t xml:space="preserve"> </w:t>
            </w:r>
            <w:r>
              <w:t xml:space="preserve">manager are jointly liable unless they can show due diligence to secure compliance</w:t>
            </w:r>
          </w:p>
        </w:tc>
      </w:tr>
      <w:tr>
        <w:tc>
          <w:tcPr/>
          <w:p>
            <w:pPr>
              <w:pStyle w:val="Compact"/>
              <w:jc w:val="left"/>
            </w:pPr>
            <w:r>
              <w:t xml:space="preserve">S.22 / S.22A</w:t>
            </w:r>
          </w:p>
        </w:tc>
        <w:tc>
          <w:tcPr/>
          <w:p>
            <w:pPr>
              <w:pStyle w:val="Compact"/>
              <w:jc w:val="left"/>
            </w:pPr>
            <w:r>
              <w:t xml:space="preserve">Stop-work and closure powers; improvement notices</w:t>
            </w:r>
          </w:p>
        </w:tc>
      </w:tr>
      <w:tr>
        <w:tc>
          <w:tcPr/>
          <w:p>
            <w:pPr>
              <w:pStyle w:val="Compact"/>
              <w:jc w:val="left"/>
            </w:pPr>
            <w:r>
              <w:t xml:space="preserve">S.23</w:t>
            </w:r>
          </w:p>
        </w:tc>
        <w:tc>
          <w:tcPr/>
          <w:p>
            <w:pPr>
              <w:pStyle w:val="Compact"/>
              <w:jc w:val="left"/>
            </w:pPr>
            <w:r>
              <w:t xml:space="preserve">Accidents involving loss of life, serious injury, explosion or inundation must be notified, with a copy posted at the mine for 14 days</w:t>
            </w:r>
          </w:p>
        </w:tc>
      </w:tr>
      <w:tr>
        <w:tc>
          <w:tcPr/>
          <w:p>
            <w:pPr>
              <w:pStyle w:val="Compact"/>
              <w:jc w:val="left"/>
            </w:pPr>
            <w:r>
              <w:t xml:space="preserve">S.48</w:t>
            </w:r>
          </w:p>
        </w:tc>
        <w:tc>
          <w:tcPr/>
          <w:p>
            <w:pPr>
              <w:pStyle w:val="Compact"/>
              <w:jc w:val="left"/>
            </w:pPr>
            <w:r>
              <w:t xml:space="preserve">Statutory registers: employee identity, nature of employment, shift schedules, persons currently underground</w:t>
            </w:r>
          </w:p>
        </w:tc>
      </w:tr>
      <w:tr>
        <w:tc>
          <w:tcPr/>
          <w:p>
            <w:pPr>
              <w:pStyle w:val="Compact"/>
              <w:jc w:val="left"/>
            </w:pPr>
            <w:r>
              <w:t xml:space="preserve">S.7</w:t>
            </w:r>
          </w:p>
        </w:tc>
        <w:tc>
          <w:tcPr/>
          <w:p>
            <w:pPr>
              <w:pStyle w:val="Compact"/>
              <w:jc w:val="left"/>
            </w:pPr>
            <w:r>
              <w:t xml:space="preserve">Inspectors may enter and examine any mine at any time, day or night</w:t>
            </w:r>
          </w:p>
        </w:tc>
      </w:tr>
    </w:tbl>
    <w:p>
      <w:pPr>
        <w:pStyle w:val="BodyText"/>
      </w:pPr>
      <w:r>
        <w:t xml:space="preserve">The joint liability in S.18 is worth understanding properly. It means compliance is not an abstract corporate duty — three named individuals carry it. A system that assigns every obligation a named owner is mirroring the statute, not inventing a workflow.</w:t>
      </w:r>
    </w:p>
    <w:p>
      <w:pPr>
        <w:pStyle w:val="BodyText"/>
      </w:pPr>
      <w:r>
        <w:rPr>
          <w:iCs/>
          <w:i/>
        </w:rPr>
        <w:t xml:space="preserve">Source: Mines Act 1952 (Act No. 35 of 1952), indiacode.nic.in.</w:t>
      </w:r>
    </w:p>
    <w:bookmarkEnd w:id="22"/>
    <w:bookmarkStart w:id="23" w:name="coal-mines-regulations-2017"/>
    <w:p>
      <w:pPr>
        <w:pStyle w:val="Heading3"/>
      </w:pPr>
      <w:r>
        <w:t xml:space="preserve">1.3 Coal Mines Regulations, 2017</w:t>
      </w:r>
    </w:p>
    <w:p>
      <w:pPr>
        <w:pStyle w:val="FirstParagraph"/>
      </w:pPr>
      <w:r>
        <w:t xml:space="preserve">CMR 2017 replaced the 1957 regulations. Structure: Chapter I preliminary, II returns/notices/records, III certificates of competency, IV inspectors and mine officials, V duties and responsibilities.</w:t>
      </w:r>
    </w:p>
    <w:p>
      <w:pPr>
        <w:pStyle w:val="BodyText"/>
      </w:pPr>
      <w:r>
        <w:t xml:space="preserve">Recurring obligations that a compliance ledger would track:</w:t>
      </w:r>
    </w:p>
    <w:p>
      <w:pPr>
        <w:numPr>
          <w:ilvl w:val="0"/>
          <w:numId w:val="1001"/>
        </w:numPr>
        <w:pStyle w:val="Compact"/>
      </w:pPr>
      <w:r>
        <w:rPr>
          <w:bCs/>
          <w:b/>
        </w:rPr>
        <w:t xml:space="preserve">Reg. 4</w:t>
      </w:r>
      <w:r>
        <w:t xml:space="preserve"> </w:t>
      </w:r>
      <w:r>
        <w:t xml:space="preserve">— annual returns to the Chief Inspector, Regional Inspector and District Magistrate by</w:t>
      </w:r>
      <w:r>
        <w:t xml:space="preserve"> </w:t>
      </w:r>
      <w:r>
        <w:rPr>
          <w:bCs/>
          <w:b/>
        </w:rPr>
        <w:t xml:space="preserve">1 February</w:t>
      </w:r>
      <w:r>
        <w:t xml:space="preserve"> </w:t>
      </w:r>
      <w:r>
        <w:t xml:space="preserve">each year</w:t>
      </w:r>
    </w:p>
    <w:p>
      <w:pPr>
        <w:numPr>
          <w:ilvl w:val="0"/>
          <w:numId w:val="1001"/>
        </w:numPr>
        <w:pStyle w:val="Compact"/>
      </w:pPr>
      <w:r>
        <w:rPr>
          <w:bCs/>
          <w:b/>
        </w:rPr>
        <w:t xml:space="preserve">Reg. 8</w:t>
      </w:r>
      <w:r>
        <w:t xml:space="preserve"> </w:t>
      </w:r>
      <w:r>
        <w:t xml:space="preserve">— accident notice within</w:t>
      </w:r>
      <w:r>
        <w:t xml:space="preserve"> </w:t>
      </w:r>
      <w:r>
        <w:rPr>
          <w:bCs/>
          <w:b/>
        </w:rPr>
        <w:t xml:space="preserve">24 hours</w:t>
      </w:r>
      <w:r>
        <w:t xml:space="preserve"> </w:t>
      </w:r>
      <w:r>
        <w:t xml:space="preserve">for death or serious injury</w:t>
      </w:r>
    </w:p>
    <w:p>
      <w:pPr>
        <w:numPr>
          <w:ilvl w:val="0"/>
          <w:numId w:val="1001"/>
        </w:numPr>
        <w:pStyle w:val="Compact"/>
      </w:pPr>
      <w:r>
        <w:rPr>
          <w:bCs/>
          <w:b/>
        </w:rPr>
        <w:t xml:space="preserve">Reg. 9</w:t>
      </w:r>
      <w:r>
        <w:t xml:space="preserve"> </w:t>
      </w:r>
      <w:r>
        <w:t xml:space="preserve">— notifiable occupational diseases reported within</w:t>
      </w:r>
      <w:r>
        <w:t xml:space="preserve"> </w:t>
      </w:r>
      <w:r>
        <w:rPr>
          <w:bCs/>
          <w:b/>
        </w:rPr>
        <w:t xml:space="preserve">3 days</w:t>
      </w:r>
    </w:p>
    <w:p>
      <w:pPr>
        <w:numPr>
          <w:ilvl w:val="0"/>
          <w:numId w:val="1001"/>
        </w:numPr>
        <w:pStyle w:val="Compact"/>
      </w:pPr>
      <w:r>
        <w:rPr>
          <w:bCs/>
          <w:b/>
        </w:rPr>
        <w:t xml:space="preserve">Reg. 29</w:t>
      </w:r>
      <w:r>
        <w:t xml:space="preserve"> </w:t>
      </w:r>
      <w:r>
        <w:t xml:space="preserve">— a Safety Officer is mandatory for underground mines above 5,000 t/month or opencast above 20,000 m³/month</w:t>
      </w:r>
    </w:p>
    <w:p>
      <w:pPr>
        <w:numPr>
          <w:ilvl w:val="0"/>
          <w:numId w:val="1001"/>
        </w:numPr>
        <w:pStyle w:val="Compact"/>
      </w:pPr>
      <w:r>
        <w:rPr>
          <w:bCs/>
          <w:b/>
        </w:rPr>
        <w:t xml:space="preserve">Reg. 43</w:t>
      </w:r>
      <w:r>
        <w:t xml:space="preserve"> </w:t>
      </w:r>
      <w:r>
        <w:t xml:space="preserve">— the manager must personally inspect underground workings at least</w:t>
      </w:r>
      <w:r>
        <w:t xml:space="preserve"> </w:t>
      </w:r>
      <w:r>
        <w:rPr>
          <w:bCs/>
          <w:b/>
        </w:rPr>
        <w:t xml:space="preserve">four times a week</w:t>
      </w:r>
      <w:r>
        <w:t xml:space="preserve">, including</w:t>
      </w:r>
      <w:r>
        <w:t xml:space="preserve"> </w:t>
      </w:r>
      <w:r>
        <w:rPr>
          <w:bCs/>
          <w:b/>
        </w:rPr>
        <w:t xml:space="preserve">once a fortnight on night shift</w:t>
      </w:r>
      <w:r>
        <w:t xml:space="preserve">, logged in a bound diary; serious accidents investigated and findings submitted to inspectors within</w:t>
      </w:r>
      <w:r>
        <w:t xml:space="preserve"> </w:t>
      </w:r>
      <w:r>
        <w:rPr>
          <w:bCs/>
          <w:b/>
        </w:rPr>
        <w:t xml:space="preserve">15 days</w:t>
      </w:r>
    </w:p>
    <w:p>
      <w:pPr>
        <w:numPr>
          <w:ilvl w:val="0"/>
          <w:numId w:val="1001"/>
        </w:numPr>
        <w:pStyle w:val="Compact"/>
      </w:pPr>
      <w:r>
        <w:rPr>
          <w:bCs/>
          <w:b/>
        </w:rPr>
        <w:t xml:space="preserve">Reg. 44</w:t>
      </w:r>
      <w:r>
        <w:t xml:space="preserve"> </w:t>
      </w:r>
      <w:r>
        <w:t xml:space="preserve">— Safety Officer duties, with an explicit bar on assigning other work</w:t>
      </w:r>
    </w:p>
    <w:p>
      <w:pPr>
        <w:numPr>
          <w:ilvl w:val="0"/>
          <w:numId w:val="1001"/>
        </w:numPr>
        <w:pStyle w:val="Compact"/>
      </w:pPr>
      <w:r>
        <w:rPr>
          <w:bCs/>
          <w:b/>
        </w:rPr>
        <w:t xml:space="preserve">Reg. 46</w:t>
      </w:r>
      <w:r>
        <w:t xml:space="preserve"> </w:t>
      </w:r>
      <w:r>
        <w:t xml:space="preserve">— Ventilation Officer: daily main-fan checks, quarterly fan-efficiency determination, air samples analysed within 48 hours</w:t>
      </w:r>
    </w:p>
    <w:p>
      <w:pPr>
        <w:pStyle w:val="FirstParagraph"/>
      </w:pPr>
      <w:r>
        <w:t xml:space="preserve">Reg. 43 is a good demonstration case for the prototype. It is periodic, evidence-backed, individually owned, and currently recorded in a paper diary.</w:t>
      </w:r>
    </w:p>
    <w:p>
      <w:pPr>
        <w:pStyle w:val="BodyText"/>
      </w:pPr>
      <w:r>
        <w:rPr>
          <w:iCs/>
          <w:i/>
        </w:rPr>
        <w:t xml:space="preserve">Source: Coal Mines Regulations 2017, dgms.net mirror. The exact gazette commencement date could not be verified.</w:t>
      </w:r>
    </w:p>
    <w:bookmarkEnd w:id="23"/>
    <w:bookmarkStart w:id="24" w:name="mines-rules-1955"/>
    <w:p>
      <w:pPr>
        <w:pStyle w:val="Heading3"/>
      </w:pPr>
      <w:r>
        <w:t xml:space="preserve">1.4 Mines Rules, 1955</w:t>
      </w:r>
    </w:p>
    <w:p>
      <w:pPr>
        <w:pStyle w:val="FirstParagraph"/>
      </w:pPr>
      <w:r>
        <w:t xml:space="preserve">Forms and registers that would map directly into the ledger: Form J (reportable accidents), Form K (minor accidents), Form A (employee register), Form D (daily attendance), Form E (leave with wages), Form B (overtime), Rule 77-A (identity tokens).</w:t>
      </w:r>
    </w:p>
    <w:p>
      <w:pPr>
        <w:numPr>
          <w:ilvl w:val="0"/>
          <w:numId w:val="1002"/>
        </w:numPr>
        <w:pStyle w:val="Compact"/>
      </w:pPr>
      <w:r>
        <w:rPr>
          <w:bCs/>
          <w:b/>
        </w:rPr>
        <w:t xml:space="preserve">Rule 29-P</w:t>
      </w:r>
      <w:r>
        <w:t xml:space="preserve"> </w:t>
      </w:r>
      <w:r>
        <w:t xml:space="preserve">— annual medical examination return by 20 February</w:t>
      </w:r>
    </w:p>
    <w:p>
      <w:pPr>
        <w:numPr>
          <w:ilvl w:val="0"/>
          <w:numId w:val="1002"/>
        </w:numPr>
        <w:pStyle w:val="Compact"/>
      </w:pPr>
      <w:r>
        <w:rPr>
          <w:bCs/>
          <w:b/>
        </w:rPr>
        <w:t xml:space="preserve">Rules 29-B to 29-K</w:t>
      </w:r>
      <w:r>
        <w:t xml:space="preserve"> </w:t>
      </w:r>
      <w:r>
        <w:t xml:space="preserve">— initial and periodic medical examinations; records retained 10 years</w:t>
      </w:r>
    </w:p>
    <w:p>
      <w:pPr>
        <w:numPr>
          <w:ilvl w:val="0"/>
          <w:numId w:val="1002"/>
        </w:numPr>
        <w:pStyle w:val="Compact"/>
      </w:pPr>
      <w:r>
        <w:rPr>
          <w:bCs/>
          <w:b/>
        </w:rPr>
        <w:t xml:space="preserve">Rules 72–74</w:t>
      </w:r>
      <w:r>
        <w:t xml:space="preserve"> </w:t>
      </w:r>
      <w:r>
        <w:t xml:space="preserve">— Welfare Officer mandatory at 500+ workers</w:t>
      </w:r>
    </w:p>
    <w:p>
      <w:pPr>
        <w:numPr>
          <w:ilvl w:val="0"/>
          <w:numId w:val="1002"/>
        </w:numPr>
        <w:pStyle w:val="Compact"/>
      </w:pPr>
      <w:r>
        <w:rPr>
          <w:bCs/>
          <w:b/>
        </w:rPr>
        <w:t xml:space="preserve">Rule 29-Q</w:t>
      </w:r>
      <w:r>
        <w:t xml:space="preserve"> </w:t>
      </w:r>
      <w:r>
        <w:t xml:space="preserve">— Workmen’s Inspectors at 500+ employees</w:t>
      </w:r>
    </w:p>
    <w:p>
      <w:pPr>
        <w:numPr>
          <w:ilvl w:val="0"/>
          <w:numId w:val="1002"/>
        </w:numPr>
        <w:pStyle w:val="Compact"/>
      </w:pPr>
      <w:r>
        <w:rPr>
          <w:bCs/>
          <w:b/>
        </w:rPr>
        <w:t xml:space="preserve">Rules 29-T to 29-W</w:t>
      </w:r>
      <w:r>
        <w:t xml:space="preserve"> </w:t>
      </w:r>
      <w:r>
        <w:t xml:space="preserve">— Safety Committees mandatory at 100+ workers, recommendations implemented within 15 days</w:t>
      </w:r>
    </w:p>
    <w:p>
      <w:pPr>
        <w:pStyle w:val="FirstParagraph"/>
      </w:pPr>
      <w:r>
        <w:rPr>
          <w:iCs/>
          <w:i/>
        </w:rPr>
        <w:t xml:space="preserve">Source: Mines Rules 1955, accessed via a labour-law mirror; the DGMS-hosted copy was robots-blocked. Rule numbers not re-verified against the official PDF.</w:t>
      </w:r>
    </w:p>
    <w:bookmarkEnd w:id="24"/>
    <w:bookmarkStart w:id="25" w:name="X156cee4cb8513ed73174996567db6748b924988"/>
    <w:p>
      <w:pPr>
        <w:pStyle w:val="Heading3"/>
      </w:pPr>
      <w:r>
        <w:t xml:space="preserve">1.5 Mines Rescue Rules, 1985 and the MMDR Act, 1957</w:t>
      </w:r>
    </w:p>
    <w:p>
      <w:pPr>
        <w:pStyle w:val="FirstParagraph"/>
      </w:pPr>
      <w:r>
        <w:t xml:space="preserve">Rescue rules apply to underground mines with more than 100 persons below ground: rescue stations with an 18-person trained brigade, rescue rooms where no station is within 35 km, annual medical re-examination of rescue personnel.</w:t>
      </w:r>
    </w:p>
    <w:p>
      <w:pPr>
        <w:pStyle w:val="BodyText"/>
      </w:pPr>
      <w:r>
        <w:t xml:space="preserve">Under MMDR, mine owners need an approved mining plan and must comply with the Mineral Conservation and Development Rules 2017. The 2015 amendment raised illegal-mining penalties from ₹25,000 to</w:t>
      </w:r>
      <w:r>
        <w:t xml:space="preserve"> </w:t>
      </w:r>
      <w:r>
        <w:rPr>
          <w:bCs/>
          <w:b/>
        </w:rPr>
        <w:t xml:space="preserve">₹5 lakh per hectare</w:t>
      </w:r>
      <w:r>
        <w:t xml:space="preserve"> </w:t>
      </w:r>
      <w:r>
        <w:t xml:space="preserve">and imprisonment from two to five years, and enabled state Special Courts under S.30B/30C. Enforcement is largely a state subject — 22 states have framed rules under S.23C.</w:t>
      </w:r>
    </w:p>
    <w:p>
      <w:pPr>
        <w:pStyle w:val="BodyText"/>
      </w:pPr>
      <w:r>
        <w:rPr>
          <w:iCs/>
          <w:i/>
        </w:rPr>
        <w:t xml:space="preserve">Sources: Mines Rescue Rules 1985, dgms.gov.in; PIB release on illegal mining penalties.</w:t>
      </w:r>
    </w:p>
    <w:p>
      <w:r>
        <w:pict>
          <v:rect style="width:0;height:1.5pt" o:hralign="center" o:hrstd="t" o:hr="t"/>
        </w:pict>
      </w:r>
    </w:p>
    <w:bookmarkEnd w:id="25"/>
    <w:bookmarkEnd w:id="26"/>
    <w:bookmarkStart w:id="30" w:name="who-enforces-and-how"/>
    <w:p>
      <w:pPr>
        <w:pStyle w:val="Heading2"/>
      </w:pPr>
      <w:r>
        <w:t xml:space="preserve">2. Who enforces, and how</w:t>
      </w:r>
    </w:p>
    <w:bookmarkStart w:id="27" w:name="dgms"/>
    <w:p>
      <w:pPr>
        <w:pStyle w:val="Heading3"/>
      </w:pPr>
      <w:r>
        <w:t xml:space="preserve">2.1 DGMS</w:t>
      </w:r>
    </w:p>
    <w:p>
      <w:pPr>
        <w:pStyle w:val="FirstParagraph"/>
      </w:pPr>
      <w:r>
        <w:t xml:space="preserve">The Directorate General of Mines Safety is a subordinate office of the</w:t>
      </w:r>
      <w:r>
        <w:t xml:space="preserve"> </w:t>
      </w:r>
      <w:r>
        <w:rPr>
          <w:bCs/>
          <w:b/>
        </w:rPr>
        <w:t xml:space="preserve">Ministry of Labour &amp; Employment</w:t>
      </w:r>
      <w:r>
        <w:t xml:space="preserve">, headquartered at</w:t>
      </w:r>
      <w:r>
        <w:t xml:space="preserve"> </w:t>
      </w:r>
      <w:r>
        <w:rPr>
          <w:bCs/>
          <w:b/>
        </w:rPr>
        <w:t xml:space="preserve">Dhanbad</w:t>
      </w:r>
      <w:r>
        <w:t xml:space="preserve">. Note the ministry — DGMS does not sit under the Ministry of Coal. Safety enforcement and coal production report to different ministries, which is itself part of why data is fragmented.</w:t>
      </w:r>
    </w:p>
    <w:p>
      <w:pPr>
        <w:pStyle w:val="BodyText"/>
      </w:pPr>
      <w:r>
        <w:t xml:space="preserve">Current structure after the May 2022 reorganisation:</w:t>
      </w:r>
      <w:r>
        <w:t xml:space="preserve"> </w:t>
      </w:r>
      <w:r>
        <w:rPr>
          <w:bCs/>
          <w:b/>
        </w:rPr>
        <w:t xml:space="preserve">8 zones, 38 regional offices</w:t>
      </w:r>
      <w:r>
        <w:t xml:space="preserve">, up from 29 regions previously. Zones identified: Eastern (Sitarampur), South-Eastern (Ranchi), Southern (Bengaluru), Western (Nagpur), North-Western (Udaipur), South Central (Hyderabad), Northern (Ghaziabad). The eighth was not found.</w:t>
      </w:r>
    </w:p>
    <w:p>
      <w:pPr>
        <w:pStyle w:val="BodyText"/>
      </w:pPr>
      <w:r>
        <w:t xml:space="preserve">DGMS administers the Mines Act plus CMR 2017, the Metalliferous Mines Regulations 1961, Oil Mines Regulations 1984, Mines Rules 1955, Mines Rescue Rules 1985 and Mines Vocational Training Rules 1966, across roughly</w:t>
      </w:r>
      <w:r>
        <w:t xml:space="preserve"> </w:t>
      </w:r>
      <w:r>
        <w:rPr>
          <w:bCs/>
          <w:b/>
        </w:rPr>
        <w:t xml:space="preserve">19,012 registered mines</w:t>
      </w:r>
      <w:r>
        <w:t xml:space="preserve"> </w:t>
      </w:r>
      <w:r>
        <w:t xml:space="preserve">of all types.</w:t>
      </w:r>
    </w:p>
    <w:p>
      <w:pPr>
        <w:pStyle w:val="BodyText"/>
      </w:pPr>
      <w:r>
        <w:rPr>
          <w:bCs/>
          <w:b/>
        </w:rPr>
        <w:t xml:space="preserve">A significant finding: no nationwide inspection, notice or prosecution totals appear to be published.</w:t>
      </w:r>
      <w:r>
        <w:t xml:space="preserve"> </w:t>
      </w:r>
      <w:r>
        <w:t xml:space="preserve">The only enforcement figures found were for a single region — DGMS Guwahati, covering 74 registered mines, reported for 2024: 98 inspections, 17 inquiries, 256 notices, 348 prohibitory orders, 34 prosecutions. There is no equivalent national roll-up in any accessible document.</w:t>
      </w:r>
    </w:p>
    <w:p>
      <w:pPr>
        <w:pStyle w:val="BodyText"/>
      </w:pPr>
      <w:r>
        <w:t xml:space="preserve">That absence is an argument for the product. If the regulator cannot see its own enforcement posture in one place, neither can anyone else.</w:t>
      </w:r>
    </w:p>
    <w:p>
      <w:pPr>
        <w:pStyle w:val="BodyText"/>
      </w:pPr>
      <w:r>
        <w:t xml:space="preserve">Also from the same source: of nine documented fatal accidents in illegal or unregistered mines in the Northeast between 2012 and 2025,</w:t>
      </w:r>
      <w:r>
        <w:t xml:space="preserve"> </w:t>
      </w:r>
      <w:r>
        <w:rPr>
          <w:bCs/>
          <w:b/>
        </w:rPr>
        <w:t xml:space="preserve">only one had a Notice of Mine Opening filed</w:t>
      </w:r>
      <w:r>
        <w:t xml:space="preserve"> </w:t>
      </w:r>
      <w:r>
        <w:t xml:space="preserve">under S.16.</w:t>
      </w:r>
    </w:p>
    <w:p>
      <w:pPr>
        <w:pStyle w:val="BodyText"/>
      </w:pPr>
      <w:r>
        <w:rPr>
          <w:iCs/>
          <w:i/>
        </w:rPr>
        <w:t xml:space="preserve">Sources: dgms.gov.in</w:t>
      </w:r>
      <w:r>
        <w:rPr>
          <w:iCs/>
          <w:i/>
        </w:rPr>
        <w:t xml:space="preserve"> </w:t>
      </w:r>
      <w:r>
        <w:rPr>
          <w:iCs/>
          <w:i/>
        </w:rPr>
        <w:t xml:space="preserve">“</w:t>
      </w:r>
      <w:r>
        <w:rPr>
          <w:iCs/>
          <w:i/>
        </w:rPr>
        <w:t xml:space="preserve">About DGMS</w:t>
      </w:r>
      <w:r>
        <w:rPr>
          <w:iCs/>
          <w:i/>
        </w:rPr>
        <w:t xml:space="preserve">”</w:t>
      </w:r>
      <w:r>
        <w:rPr>
          <w:iCs/>
          <w:i/>
        </w:rPr>
        <w:t xml:space="preserve">; DGMS presentations hosted on mines.gov.in.</w:t>
      </w:r>
    </w:p>
    <w:bookmarkEnd w:id="27"/>
    <w:bookmarkStart w:id="28" w:name="the-inspection-cadence-at-cil"/>
    <w:p>
      <w:pPr>
        <w:pStyle w:val="Heading3"/>
      </w:pPr>
      <w:r>
        <w:t xml:space="preserve">2.2 The inspection cadence at CIL</w:t>
      </w:r>
    </w:p>
    <w:p>
      <w:pPr>
        <w:pStyle w:val="FirstParagraph"/>
      </w:pPr>
      <w:r>
        <w:t xml:space="preserve">Coal India describes a layered regime: daily unit-level statutory inspections, weekly workmen’s inspector checks, monthly Pit Safety Committee review, quarterly inter-area safety audits, half-yearly Central Safety Council inspection, plus irregular surprise back-shift checks. Its Internal Safety Organisation runs quarterly CMD-level reviews, three-monthly mine inspections, annual mine-plan examination and root cause analysis after accidents.</w:t>
      </w:r>
    </w:p>
    <w:p>
      <w:pPr>
        <w:pStyle w:val="BodyText"/>
      </w:pPr>
      <w:r>
        <w:t xml:space="preserve">On paper this is thorough. Section 3 covers what happens in practice.</w:t>
      </w:r>
    </w:p>
    <w:p>
      <w:pPr>
        <w:pStyle w:val="BodyText"/>
      </w:pPr>
      <w:r>
        <w:rPr>
          <w:iCs/>
          <w:i/>
        </w:rPr>
        <w:t xml:space="preserve">Source: Ministry of Coal Annual Report, Chapter 11 (2019-20) and Chapter 14 (2024-25).</w:t>
      </w:r>
    </w:p>
    <w:bookmarkEnd w:id="28"/>
    <w:bookmarkStart w:id="29" w:name="environmental-compliance"/>
    <w:p>
      <w:pPr>
        <w:pStyle w:val="Heading3"/>
      </w:pPr>
      <w:r>
        <w:t xml:space="preserve">2.3 Environmental compliance</w:t>
      </w:r>
    </w:p>
    <w:p>
      <w:pPr>
        <w:pStyle w:val="FirstParagraph"/>
      </w:pPr>
      <w:r>
        <w:rPr>
          <w:bCs/>
          <w:b/>
        </w:rPr>
        <w:t xml:space="preserve">PARIVESH</w:t>
      </w:r>
      <w:r>
        <w:t xml:space="preserve">, launched 10 August 2018 with NIC, is the single-window hub for environment, forest, wildlife and CRZ clearances, with GIS-based review and a mobile app for geo-tagged compliance photographs. PARIVESH 2.0 was reported as the mandatory default from February 2024.</w:t>
      </w:r>
    </w:p>
    <w:p>
      <w:pPr>
        <w:pStyle w:val="BodyText"/>
      </w:pPr>
      <w:r>
        <w:t xml:space="preserve">Under the EIA Notification 2006, project proponents file a compliance report</w:t>
      </w:r>
      <w:r>
        <w:t xml:space="preserve"> </w:t>
      </w:r>
      <w:r>
        <w:rPr>
          <w:bCs/>
          <w:b/>
        </w:rPr>
        <w:t xml:space="preserve">twice a year, by 1 June and 1 December</w:t>
      </w:r>
      <w:r>
        <w:t xml:space="preserve">. This is explicitly</w:t>
      </w:r>
      <w:r>
        <w:t xml:space="preserve"> </w:t>
      </w:r>
      <w:r>
        <w:rPr>
          <w:bCs/>
          <w:b/>
        </w:rPr>
        <w:t xml:space="preserve">a self-declaration</w:t>
      </w:r>
      <w:r>
        <w:t xml:space="preserve">. The portal digitises the paperwork; it does not verify field conditions.</w:t>
      </w:r>
    </w:p>
    <w:p>
      <w:pPr>
        <w:pStyle w:val="BodyText"/>
      </w:pPr>
      <w:r>
        <w:t xml:space="preserve">Mining is classified in the</w:t>
      </w:r>
      <w:r>
        <w:t xml:space="preserve"> </w:t>
      </w:r>
      <w:r>
        <w:rPr>
          <w:bCs/>
          <w:b/>
        </w:rPr>
        <w:t xml:space="preserve">Red category</w:t>
      </w:r>
      <w:r>
        <w:t xml:space="preserve"> </w:t>
      </w:r>
      <w:r>
        <w:t xml:space="preserve">by pollution control boards, requiring Consent to Establish and Consent to Operate.</w:t>
      </w:r>
    </w:p>
    <w:p>
      <w:pPr>
        <w:pStyle w:val="BodyText"/>
      </w:pPr>
      <w:r>
        <w:rPr>
          <w:iCs/>
          <w:i/>
        </w:rPr>
        <w:t xml:space="preserve">Sources: PIB launch release for PARIVESH; state pollution control board category lists. CPCB’s own directions PDF was robots-blocked.</w:t>
      </w:r>
    </w:p>
    <w:p>
      <w:r>
        <w:pict>
          <v:rect style="width:0;height:1.5pt" o:hralign="center" o:hrstd="t" o:hr="t"/>
        </w:pict>
      </w:r>
    </w:p>
    <w:bookmarkEnd w:id="29"/>
    <w:bookmarkEnd w:id="30"/>
    <w:bookmarkStart w:id="36" w:name="how-compliance-currently-fails"/>
    <w:p>
      <w:pPr>
        <w:pStyle w:val="Heading2"/>
      </w:pPr>
      <w:r>
        <w:t xml:space="preserve">3. How compliance currently fails</w:t>
      </w:r>
    </w:p>
    <w:p>
      <w:pPr>
        <w:pStyle w:val="FirstParagraph"/>
      </w:pPr>
      <w:r>
        <w:t xml:space="preserve">This is the section that carries the pitch. All of it is government-sourced or major investigative journalism.</w:t>
      </w:r>
    </w:p>
    <w:bookmarkStart w:id="31" w:name="cag-report-no.-12-of-2019"/>
    <w:p>
      <w:pPr>
        <w:pStyle w:val="Heading3"/>
      </w:pPr>
      <w:r>
        <w:t xml:space="preserve">3.1 CAG Report No. 12 of 2019</w:t>
      </w:r>
    </w:p>
    <w:p>
      <w:pPr>
        <w:pStyle w:val="FirstParagraph"/>
      </w:pPr>
      <w:r>
        <w:t xml:space="preserve">The Comptroller and Auditor General audited environmental compliance across Coal India and its subsidiaries. Findings:</w:t>
      </w:r>
    </w:p>
    <w:p>
      <w:pPr>
        <w:numPr>
          <w:ilvl w:val="0"/>
          <w:numId w:val="1003"/>
        </w:numPr>
        <w:pStyle w:val="Compact"/>
      </w:pPr>
      <w:r>
        <w:rPr>
          <w:bCs/>
          <w:b/>
        </w:rPr>
        <w:t xml:space="preserve">Six of seven</w:t>
      </w:r>
      <w:r>
        <w:t xml:space="preserve"> </w:t>
      </w:r>
      <w:r>
        <w:t xml:space="preserve">coal subsidiaries had not formulated a mandated Environment Policy</w:t>
      </w:r>
    </w:p>
    <w:p>
      <w:pPr>
        <w:numPr>
          <w:ilvl w:val="0"/>
          <w:numId w:val="1003"/>
        </w:numPr>
        <w:pStyle w:val="Compact"/>
      </w:pPr>
      <w:r>
        <w:t xml:space="preserve">As at March 2018,</w:t>
      </w:r>
      <w:r>
        <w:t xml:space="preserve"> </w:t>
      </w:r>
      <w:r>
        <w:rPr>
          <w:bCs/>
          <w:b/>
        </w:rPr>
        <w:t xml:space="preserve">16 units</w:t>
      </w:r>
      <w:r>
        <w:t xml:space="preserve"> </w:t>
      </w:r>
      <w:r>
        <w:t xml:space="preserve">across two subsidiaries — 13 mines and 3 washeries — were operating</w:t>
      </w:r>
      <w:r>
        <w:t xml:space="preserve"> </w:t>
      </w:r>
      <w:r>
        <w:rPr>
          <w:bCs/>
          <w:b/>
        </w:rPr>
        <w:t xml:space="preserve">without valid statutory clearance</w:t>
      </w:r>
      <w:r>
        <w:t xml:space="preserve">: 9 with no environment clearance, 1 with no Consent to Establish, 6 with no Consent to Operate</w:t>
      </w:r>
    </w:p>
    <w:p>
      <w:pPr>
        <w:numPr>
          <w:ilvl w:val="0"/>
          <w:numId w:val="1003"/>
        </w:numPr>
        <w:pStyle w:val="Compact"/>
      </w:pPr>
      <w:r>
        <w:t xml:space="preserve">Only</w:t>
      </w:r>
      <w:r>
        <w:t xml:space="preserve"> </w:t>
      </w:r>
      <w:r>
        <w:rPr>
          <w:bCs/>
          <w:b/>
        </w:rPr>
        <w:t xml:space="preserve">58 of 96</w:t>
      </w:r>
      <w:r>
        <w:t xml:space="preserve"> </w:t>
      </w:r>
      <w:r>
        <w:t xml:space="preserve">required ambient air-quality monitoring stations across 12 mines were installed. Twelve mines across four subsidiaries had no continuous monitoring stations despite a mandate in force since November 2009; ECL did not begin until May 2015</w:t>
      </w:r>
    </w:p>
    <w:p>
      <w:pPr>
        <w:numPr>
          <w:ilvl w:val="0"/>
          <w:numId w:val="1003"/>
        </w:numPr>
        <w:pStyle w:val="Compact"/>
      </w:pPr>
      <w:r>
        <w:t xml:space="preserve">Eight mines exceeded BIS water-quality limits;</w:t>
      </w:r>
      <w:r>
        <w:t xml:space="preserve"> </w:t>
      </w:r>
      <w:r>
        <w:rPr>
          <w:bCs/>
          <w:b/>
        </w:rPr>
        <w:t xml:space="preserve">two MCL mines discharged 62 lakh kilolitres of untreated water</w:t>
      </w:r>
      <w:r>
        <w:t xml:space="preserve"> </w:t>
      </w:r>
      <w:r>
        <w:t xml:space="preserve">into water bodies between 2013 and 2018</w:t>
      </w:r>
    </w:p>
    <w:p>
      <w:pPr>
        <w:numPr>
          <w:ilvl w:val="0"/>
          <w:numId w:val="1003"/>
        </w:numPr>
        <w:pStyle w:val="Compact"/>
      </w:pPr>
      <w:r>
        <w:t xml:space="preserve">PM10 readings of 101–660 µg/m³ against a 100 µg/m³ standard, across six mines</w:t>
      </w:r>
    </w:p>
    <w:p>
      <w:pPr>
        <w:numPr>
          <w:ilvl w:val="0"/>
          <w:numId w:val="1003"/>
        </w:numPr>
        <w:pStyle w:val="Compact"/>
      </w:pPr>
      <w:r>
        <w:rPr>
          <w:bCs/>
          <w:b/>
        </w:rPr>
        <w:t xml:space="preserve">13 of 23 mines</w:t>
      </w:r>
      <w:r>
        <w:t xml:space="preserve"> </w:t>
      </w:r>
      <w:r>
        <w:t xml:space="preserve">kept no record of stacked topsoil quantity or area; MCL achieved</w:t>
      </w:r>
      <w:r>
        <w:t xml:space="preserve"> </w:t>
      </w:r>
      <w:r>
        <w:rPr>
          <w:bCs/>
          <w:b/>
        </w:rPr>
        <w:t xml:space="preserve">51.6%</w:t>
      </w:r>
      <w:r>
        <w:t xml:space="preserve"> </w:t>
      </w:r>
      <w:r>
        <w:t xml:space="preserve">of its biological reclamation target</w:t>
      </w:r>
    </w:p>
    <w:p>
      <w:pPr>
        <w:pStyle w:val="FirstParagraph"/>
      </w:pPr>
      <w:r>
        <w:t xml:space="preserve">The CAG’s own recommendations call for strengthened monitoring mechanisms and proper checks and balances. The auditor identified the monitoring chain itself as broken, not merely the underlying pollution.</w:t>
      </w:r>
    </w:p>
    <w:p>
      <w:pPr>
        <w:pStyle w:val="BodyText"/>
      </w:pPr>
      <w:r>
        <w:rPr>
          <w:iCs/>
          <w:i/>
        </w:rPr>
        <w:t xml:space="preserve">Source: CAG Report No. 12 of 2019, cag.gov.in.</w:t>
      </w:r>
    </w:p>
    <w:bookmarkEnd w:id="31"/>
    <w:bookmarkStart w:id="32" w:name="X49523dd574c3522e7060a61a79e9a9e0fdb5aa8"/>
    <w:p>
      <w:pPr>
        <w:pStyle w:val="Heading3"/>
      </w:pPr>
      <w:r>
        <w:t xml:space="preserve">3.2 Standing Committee on Safety in Coal Mines, 49th meeting</w:t>
      </w:r>
    </w:p>
    <w:p>
      <w:pPr>
        <w:pStyle w:val="FirstParagraph"/>
      </w:pPr>
      <w:r>
        <w:t xml:space="preserve">The Standing Committee is a tripartite body established in 1982, described as the highest-level safety monitoring platform in the sector. Minutes of the meeting held 10 February 2025 record:</w:t>
      </w:r>
    </w:p>
    <w:p>
      <w:pPr>
        <w:numPr>
          <w:ilvl w:val="0"/>
          <w:numId w:val="1004"/>
        </w:numPr>
        <w:pStyle w:val="Compact"/>
      </w:pPr>
      <w:r>
        <w:rPr>
          <w:bCs/>
          <w:b/>
        </w:rPr>
        <w:t xml:space="preserve">80 fatal accidents</w:t>
      </w:r>
      <w:r>
        <w:t xml:space="preserve"> </w:t>
      </w:r>
      <w:r>
        <w:t xml:space="preserve">since the previous meeting in</w:t>
      </w:r>
      <w:r>
        <w:t xml:space="preserve"> </w:t>
      </w:r>
      <w:r>
        <w:rPr>
          <w:bCs/>
          <w:b/>
        </w:rPr>
        <w:t xml:space="preserve">2022</w:t>
      </w:r>
      <w:r>
        <w:t xml:space="preserve"> </w:t>
      </w:r>
      <w:r>
        <w:t xml:space="preserve">— meaning the highest-level safety body had not convened for roughly two years. Members demanded meetings at least every six months</w:t>
      </w:r>
    </w:p>
    <w:p>
      <w:pPr>
        <w:numPr>
          <w:ilvl w:val="0"/>
          <w:numId w:val="1004"/>
        </w:numPr>
        <w:pStyle w:val="Compact"/>
      </w:pPr>
      <w:r>
        <w:t xml:space="preserve">Non-compliance with standard operating procedures and supervisory failures flagged as major contributing factors</w:t>
      </w:r>
    </w:p>
    <w:p>
      <w:pPr>
        <w:numPr>
          <w:ilvl w:val="0"/>
          <w:numId w:val="1004"/>
        </w:numPr>
        <w:pStyle w:val="Compact"/>
      </w:pPr>
      <w:r>
        <w:t xml:space="preserve">Roof and side falls increasing in SCCL mines</w:t>
      </w:r>
    </w:p>
    <w:p>
      <w:pPr>
        <w:numPr>
          <w:ilvl w:val="0"/>
          <w:numId w:val="1004"/>
        </w:numPr>
        <w:pStyle w:val="Compact"/>
      </w:pPr>
      <w:r>
        <w:rPr>
          <w:bCs/>
          <w:b/>
        </w:rPr>
        <w:t xml:space="preserve">Dust suppression effectiveness discrepancies between documented records and field conditions</w:t>
      </w:r>
      <w:r>
        <w:t xml:space="preserve"> </w:t>
      </w:r>
      <w:r>
        <w:t xml:space="preserve">— records say compliant, ground says otherwise</w:t>
      </w:r>
    </w:p>
    <w:p>
      <w:pPr>
        <w:numPr>
          <w:ilvl w:val="0"/>
          <w:numId w:val="1004"/>
        </w:numPr>
        <w:pStyle w:val="Compact"/>
      </w:pPr>
      <w:r>
        <w:t xml:space="preserve">The OSH Code 2020 noted as not yet properly enforced across all mines</w:t>
      </w:r>
    </w:p>
    <w:p>
      <w:pPr>
        <w:numPr>
          <w:ilvl w:val="0"/>
          <w:numId w:val="1004"/>
        </w:numPr>
        <w:pStyle w:val="Compact"/>
      </w:pPr>
      <w:r>
        <w:t xml:space="preserve">Contract workers excluded from safety committees, alongside poor living conditions and wage inconsistencies</w:t>
      </w:r>
    </w:p>
    <w:p>
      <w:pPr>
        <w:numPr>
          <w:ilvl w:val="0"/>
          <w:numId w:val="1004"/>
        </w:numPr>
        <w:pStyle w:val="Compact"/>
      </w:pPr>
      <w:r>
        <w:t xml:space="preserve">Recommendations included a Director (Safety) post on the CIL board and AI-based safety initiatives</w:t>
      </w:r>
    </w:p>
    <w:p>
      <w:pPr>
        <w:pStyle w:val="FirstParagraph"/>
      </w:pPr>
      <w:r>
        <w:t xml:space="preserve">The dust-suppression line is the most useful single sentence in the entire research. It is the government’s own safety committee describing, in its own minutes, exactly the gap ANUPALAN closes.</w:t>
      </w:r>
    </w:p>
    <w:p>
      <w:pPr>
        <w:pStyle w:val="BodyText"/>
      </w:pPr>
      <w:r>
        <w:rPr>
          <w:iCs/>
          <w:i/>
        </w:rPr>
        <w:t xml:space="preserve">Source: Ministry of Coal, meeting minutes PDF, coal.gov.in.</w:t>
      </w:r>
    </w:p>
    <w:bookmarkEnd w:id="32"/>
    <w:bookmarkStart w:id="33" w:name="the-star-rating-scheme"/>
    <w:p>
      <w:pPr>
        <w:pStyle w:val="Heading3"/>
      </w:pPr>
      <w:r>
        <w:t xml:space="preserve">3.3 The Star Rating scheme</w:t>
      </w:r>
    </w:p>
    <w:p>
      <w:pPr>
        <w:pStyle w:val="FirstParagraph"/>
      </w:pPr>
      <w:r>
        <w:t xml:space="preserve">The Ministry of Coal runs an annual star rating across seven parameters, implemented by the Coal Controller’s Organisation.</w:t>
      </w:r>
      <w:r>
        <w:t xml:space="preserve"> </w:t>
      </w:r>
      <w:r>
        <w:rPr>
          <w:bCs/>
          <w:b/>
        </w:rPr>
        <w:t xml:space="preserve">384 mines participated in self-evaluation in FY 2023-24.</w:t>
      </w:r>
    </w:p>
    <w:p>
      <w:pPr>
        <w:pStyle w:val="BodyText"/>
      </w:pPr>
      <w:r>
        <w:t xml:space="preserve">Investigative reporting by The Reporters’ Collective found:</w:t>
      </w:r>
    </w:p>
    <w:p>
      <w:pPr>
        <w:numPr>
          <w:ilvl w:val="0"/>
          <w:numId w:val="1005"/>
        </w:numPr>
        <w:pStyle w:val="Compact"/>
      </w:pPr>
      <w:r>
        <w:rPr>
          <w:bCs/>
          <w:b/>
        </w:rPr>
        <w:t xml:space="preserve">90% of participating mines self-certify with no physical inspection</w:t>
      </w:r>
      <w:r>
        <w:t xml:space="preserve">; only the top 10% receive a site visit</w:t>
      </w:r>
    </w:p>
    <w:p>
      <w:pPr>
        <w:numPr>
          <w:ilvl w:val="0"/>
          <w:numId w:val="1005"/>
        </w:numPr>
        <w:pStyle w:val="Compact"/>
      </w:pPr>
      <w:r>
        <w:t xml:space="preserve">The peer review panel consists of other coal miners rating each other</w:t>
      </w:r>
    </w:p>
    <w:p>
      <w:pPr>
        <w:numPr>
          <w:ilvl w:val="0"/>
          <w:numId w:val="1005"/>
        </w:numPr>
        <w:pStyle w:val="Compact"/>
      </w:pPr>
      <w:r>
        <w:t xml:space="preserve">External experts’ travel and accommodation is funded by the mine being reviewed</w:t>
      </w:r>
    </w:p>
    <w:p>
      <w:pPr>
        <w:numPr>
          <w:ilvl w:val="0"/>
          <w:numId w:val="1005"/>
        </w:numPr>
        <w:pStyle w:val="Compact"/>
      </w:pPr>
      <w:r>
        <w:t xml:space="preserve">Scoring rewards partial compliance — full marks for haul roads if 90% meet the standard, ignoring the dangerous remainder</w:t>
      </w:r>
    </w:p>
    <w:p>
      <w:pPr>
        <w:numPr>
          <w:ilvl w:val="0"/>
          <w:numId w:val="1005"/>
        </w:numPr>
        <w:pStyle w:val="Compact"/>
      </w:pPr>
      <w:r>
        <w:t xml:space="preserve">Of</w:t>
      </w:r>
      <w:r>
        <w:t xml:space="preserve"> </w:t>
      </w:r>
      <w:r>
        <w:rPr>
          <w:bCs/>
          <w:b/>
        </w:rPr>
        <w:t xml:space="preserve">43 mines</w:t>
      </w:r>
      <w:r>
        <w:t xml:space="preserve"> </w:t>
      </w:r>
      <w:r>
        <w:t xml:space="preserve">awarded five stars in 2022-23,</w:t>
      </w:r>
      <w:r>
        <w:t xml:space="preserve"> </w:t>
      </w:r>
      <w:r>
        <w:rPr>
          <w:bCs/>
          <w:b/>
        </w:rPr>
        <w:t xml:space="preserve">19 had partial or non-compliance</w:t>
      </w:r>
      <w:r>
        <w:t xml:space="preserve"> </w:t>
      </w:r>
      <w:r>
        <w:t xml:space="preserve">with environmental safeguards, and at least one had recorded fatal accidents</w:t>
      </w:r>
    </w:p>
    <w:p>
      <w:pPr>
        <w:pStyle w:val="FirstParagraph"/>
      </w:pPr>
      <w:r>
        <w:rPr>
          <w:iCs/>
          <w:i/>
        </w:rPr>
        <w:t xml:space="preserve">Sources: starrating.coal.gov.in FAQ; Ministry of Coal Annual Report Ch.1; The Reporters’ Collective,</w:t>
      </w:r>
      <w:r>
        <w:rPr>
          <w:iCs/>
          <w:i/>
        </w:rPr>
        <w:t xml:space="preserve"> </w:t>
      </w:r>
      <w:r>
        <w:rPr>
          <w:iCs/>
          <w:i/>
        </w:rPr>
        <w:t xml:space="preserve">“</w:t>
      </w:r>
      <w:r>
        <w:rPr>
          <w:iCs/>
          <w:i/>
        </w:rPr>
        <w:t xml:space="preserve">Blinded by the Stars</w:t>
      </w:r>
      <w:r>
        <w:rPr>
          <w:iCs/>
          <w:i/>
        </w:rPr>
        <w:t xml:space="preserve">”</w:t>
      </w:r>
      <w:r>
        <w:rPr>
          <w:iCs/>
          <w:i/>
        </w:rPr>
        <w:t xml:space="preserve">. The investigative findings are journalism, not a government audit — attribute them accordingly.</w:t>
      </w:r>
    </w:p>
    <w:bookmarkEnd w:id="33"/>
    <w:bookmarkStart w:id="34" w:name="X39e404e304230e71146986ece4dee06725ba821"/>
    <w:p>
      <w:pPr>
        <w:pStyle w:val="Heading3"/>
      </w:pPr>
      <w:r>
        <w:t xml:space="preserve">3.4 Lalmatia / Rajmahal collapse, 29 December 2016</w:t>
      </w:r>
    </w:p>
    <w:p>
      <w:pPr>
        <w:pStyle w:val="FirstParagraph"/>
      </w:pPr>
      <w:r>
        <w:t xml:space="preserve">The clearest documented case of the inspection chain failing:</w:t>
      </w:r>
    </w:p>
    <w:p>
      <w:pPr>
        <w:numPr>
          <w:ilvl w:val="0"/>
          <w:numId w:val="1006"/>
        </w:numPr>
        <w:pStyle w:val="Compact"/>
      </w:pPr>
      <w:r>
        <w:t xml:space="preserve">DGMS</w:t>
      </w:r>
      <w:r>
        <w:t xml:space="preserve"> </w:t>
      </w:r>
      <w:r>
        <w:rPr>
          <w:bCs/>
          <w:b/>
        </w:rPr>
        <w:t xml:space="preserve">inspected the site in August 2016</w:t>
      </w:r>
      <w:r>
        <w:t xml:space="preserve"> </w:t>
      </w:r>
      <w:r>
        <w:t xml:space="preserve">and ran a</w:t>
      </w:r>
      <w:r>
        <w:t xml:space="preserve"> </w:t>
      </w:r>
      <w:r>
        <w:rPr>
          <w:bCs/>
          <w:b/>
        </w:rPr>
        <w:t xml:space="preserve">risk-assessment workshop in September 2016</w:t>
      </w:r>
      <w:r>
        <w:t xml:space="preserve">, and issued no written safety order to stop work</w:t>
      </w:r>
    </w:p>
    <w:p>
      <w:pPr>
        <w:numPr>
          <w:ilvl w:val="0"/>
          <w:numId w:val="1006"/>
        </w:numPr>
        <w:pStyle w:val="Compact"/>
      </w:pPr>
      <w:r>
        <w:t xml:space="preserve">Workers reported visible cracks and fissures on the overburden dump for months; a supervisor ordered a stoppage on the day, and management overrode it</w:t>
      </w:r>
    </w:p>
    <w:p>
      <w:pPr>
        <w:numPr>
          <w:ilvl w:val="0"/>
          <w:numId w:val="1006"/>
        </w:numPr>
        <w:pStyle w:val="Compact"/>
      </w:pPr>
      <w:r>
        <w:t xml:space="preserve">Even after the site was later declared not fit for mining, Section 22 was not invoked to mandate closure</w:t>
      </w:r>
    </w:p>
    <w:p>
      <w:pPr>
        <w:numPr>
          <w:ilvl w:val="0"/>
          <w:numId w:val="1006"/>
        </w:numPr>
        <w:pStyle w:val="Compact"/>
      </w:pPr>
      <w:r>
        <w:t xml:space="preserve">A former official’s assessment, quoted directly: Safety Management Plans</w:t>
      </w:r>
      <w:r>
        <w:t xml:space="preserve"> </w:t>
      </w:r>
      <w:r>
        <w:t xml:space="preserve">“</w:t>
      </w:r>
      <w:r>
        <w:t xml:space="preserve">simply exist in pen and paper</w:t>
      </w:r>
      <w:r>
        <w:t xml:space="preserve">”</w:t>
      </w:r>
      <w:r>
        <w:t xml:space="preserve"> </w:t>
      </w:r>
      <w:r>
        <w:t xml:space="preserve">without implementation enforcement</w:t>
      </w:r>
    </w:p>
    <w:p>
      <w:pPr>
        <w:numPr>
          <w:ilvl w:val="0"/>
          <w:numId w:val="1006"/>
        </w:numPr>
        <w:pStyle w:val="Compact"/>
      </w:pPr>
      <w:r>
        <w:t xml:space="preserve">Outsourcing blurred accountability — production sat with the contractor, safety responsibility with the coal company</w:t>
      </w:r>
    </w:p>
    <w:p>
      <w:pPr>
        <w:pStyle w:val="FirstParagraph"/>
      </w:pPr>
      <w:r>
        <w:rPr>
          <w:bCs/>
          <w:b/>
        </w:rPr>
        <w:t xml:space="preserve">The death toll is contested and no authoritative final figure was found.</w:t>
      </w:r>
      <w:r>
        <w:t xml:space="preserve"> </w:t>
      </w:r>
      <w:r>
        <w:t xml:space="preserve">The initial PIB release said 7 dead and 2 injured; Al Jazeera reported 10–11 during rescue; IndustriALL reported 18; Mongabay’s later reporting gives 23 with 5 bodies unrecovered a month on. If you cite this case, cite the range, not a number.</w:t>
      </w:r>
    </w:p>
    <w:p>
      <w:pPr>
        <w:pStyle w:val="BodyText"/>
      </w:pPr>
      <w:r>
        <w:rPr>
          <w:iCs/>
          <w:i/>
        </w:rPr>
        <w:t xml:space="preserve">Source: Mongabay-India, February 2017; PIB update, December 2016.</w:t>
      </w:r>
    </w:p>
    <w:bookmarkEnd w:id="34"/>
    <w:bookmarkStart w:id="35" w:name="anjan-hill-secl-2010"/>
    <w:p>
      <w:pPr>
        <w:pStyle w:val="Heading3"/>
      </w:pPr>
      <w:r>
        <w:t xml:space="preserve">3.5 Anjan Hill, SECL, 2010</w:t>
      </w:r>
    </w:p>
    <w:p>
      <w:pPr>
        <w:pStyle w:val="FirstParagraph"/>
      </w:pPr>
      <w:r>
        <w:t xml:space="preserve">Fourteen deaths, five serious and 26 minor injuries, from spontaneous heating in a sealed area; carbon monoxide reached 5,521 ppm. Management had ignored DGMS warnings issued in December 2008 and November 2009 and delayed sectionalising the work area. The Court of Inquiry recommended mandatory tele-monitoring of underground gases, continuous methane detection with automatic power cutoff, and inert-gas flushing of abandoned areas.</w:t>
      </w:r>
    </w:p>
    <w:p>
      <w:pPr>
        <w:pStyle w:val="BodyText"/>
      </w:pPr>
      <w:r>
        <w:t xml:space="preserve">Note the shape of it: the warnings existed, in writing, more than a year ahead. Nothing connected them to an enforced action.</w:t>
      </w:r>
    </w:p>
    <w:p>
      <w:pPr>
        <w:pStyle w:val="BodyText"/>
      </w:pPr>
      <w:r>
        <w:rPr>
          <w:iCs/>
          <w:i/>
        </w:rPr>
        <w:t xml:space="preserve">Source: peer-reviewed paper on Indian coal mine explosions, accessed via mirror.</w:t>
      </w:r>
    </w:p>
    <w:p>
      <w:r>
        <w:pict>
          <v:rect style="width:0;height:1.5pt" o:hralign="center" o:hrstd="t" o:hr="t"/>
        </w:pict>
      </w:r>
    </w:p>
    <w:bookmarkEnd w:id="35"/>
    <w:bookmarkEnd w:id="36"/>
    <w:bookmarkStart w:id="37" w:name="X05d4460b86a4a3cda2f0aa9156a90e1abef50a6"/>
    <w:p>
      <w:pPr>
        <w:pStyle w:val="Heading2"/>
      </w:pPr>
      <w:r>
        <w:t xml:space="preserve">4. Existing digital systems and where they stop</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System</w:t>
            </w:r>
          </w:p>
        </w:tc>
        <w:tc>
          <w:tcPr/>
          <w:p>
            <w:pPr>
              <w:pStyle w:val="Compact"/>
              <w:jc w:val="left"/>
            </w:pPr>
            <w:r>
              <w:t xml:space="preserve">What it does</w:t>
            </w:r>
          </w:p>
        </w:tc>
        <w:tc>
          <w:tcPr/>
          <w:p>
            <w:pPr>
              <w:pStyle w:val="Compact"/>
              <w:jc w:val="left"/>
            </w:pPr>
            <w:r>
              <w:t xml:space="preserve">Documented gap</w:t>
            </w:r>
          </w:p>
        </w:tc>
      </w:tr>
      <w:tr>
        <w:tc>
          <w:tcPr/>
          <w:p>
            <w:pPr>
              <w:pStyle w:val="Compact"/>
              <w:jc w:val="left"/>
            </w:pPr>
            <w:r>
              <w:rPr>
                <w:bCs/>
                <w:b/>
              </w:rPr>
              <w:t xml:space="preserve">National Coal Mines Safety Report Portal</w:t>
            </w:r>
          </w:p>
        </w:tc>
        <w:tc>
          <w:tcPr/>
          <w:p>
            <w:pPr>
              <w:pStyle w:val="Compact"/>
              <w:jc w:val="left"/>
            </w:pPr>
            <w:r>
              <w:t xml:space="preserve">Launched Aug 2024; accident module (24-hour reporting) and safety audit module across CIL and coal PSUs</w:t>
            </w:r>
          </w:p>
        </w:tc>
        <w:tc>
          <w:tcPr/>
          <w:p>
            <w:pPr>
              <w:pStyle w:val="Compact"/>
              <w:jc w:val="left"/>
            </w:pPr>
            <w:r>
              <w:t xml:space="preserve">Too new for independent evaluation; none found</w:t>
            </w:r>
          </w:p>
        </w:tc>
      </w:tr>
      <w:tr>
        <w:tc>
          <w:tcPr/>
          <w:p>
            <w:pPr>
              <w:pStyle w:val="Compact"/>
              <w:jc w:val="left"/>
            </w:pPr>
            <w:r>
              <w:rPr>
                <w:bCs/>
                <w:b/>
              </w:rPr>
              <w:t xml:space="preserve">CIL Safety Information System (CSIS)</w:t>
            </w:r>
          </w:p>
        </w:tc>
        <w:tc>
          <w:tcPr/>
          <w:p>
            <w:pPr>
              <w:pStyle w:val="Compact"/>
              <w:jc w:val="left"/>
            </w:pPr>
            <w:r>
              <w:t xml:space="preserve">Internal accident and compliance database</w:t>
            </w:r>
          </w:p>
        </w:tc>
        <w:tc>
          <w:tcPr/>
          <w:p>
            <w:pPr>
              <w:pStyle w:val="Compact"/>
              <w:jc w:val="left"/>
            </w:pPr>
            <w:r>
              <w:t xml:space="preserve">No public CIL documentation found at all; data quality and update frequency unassessable</w:t>
            </w:r>
          </w:p>
        </w:tc>
      </w:tr>
      <w:tr>
        <w:tc>
          <w:tcPr/>
          <w:p>
            <w:pPr>
              <w:pStyle w:val="Compact"/>
              <w:jc w:val="left"/>
            </w:pPr>
            <w:r>
              <w:rPr>
                <w:bCs/>
                <w:b/>
              </w:rPr>
              <w:t xml:space="preserve">CMSMS + Khanan Prahari</w:t>
            </w:r>
          </w:p>
        </w:tc>
        <w:tc>
          <w:tcPr/>
          <w:p>
            <w:pPr>
              <w:pStyle w:val="Compact"/>
              <w:jc w:val="left"/>
            </w:pPr>
            <w:r>
              <w:t xml:space="preserve">Launched July 2018; web-GIS showing lease boundaries with satellite-detected boundary change, plus a citizen app for geo-tagged reports</w:t>
            </w:r>
          </w:p>
        </w:tc>
        <w:tc>
          <w:tcPr/>
          <w:p>
            <w:pPr>
              <w:pStyle w:val="Compact"/>
              <w:jc w:val="left"/>
            </w:pPr>
            <w:r>
              <w:t xml:space="preserve">Government’s own figure: as at Aug 2023, only</w:t>
            </w:r>
            <w:r>
              <w:t xml:space="preserve"> </w:t>
            </w:r>
            <w:r>
              <w:rPr>
                <w:bCs/>
                <w:b/>
              </w:rPr>
              <w:t xml:space="preserve">78 of 483 complaints (16%)</w:t>
            </w:r>
            <w:r>
              <w:t xml:space="preserve"> </w:t>
            </w:r>
            <w:r>
              <w:t xml:space="preserve">verified and acted upon. An earlier release gives 462 reports, 251 verified false, 77 genuine</w:t>
            </w:r>
          </w:p>
        </w:tc>
      </w:tr>
      <w:tr>
        <w:tc>
          <w:tcPr/>
          <w:p>
            <w:pPr>
              <w:pStyle w:val="Compact"/>
              <w:jc w:val="left"/>
            </w:pPr>
            <w:r>
              <w:rPr>
                <w:bCs/>
                <w:b/>
              </w:rPr>
              <w:t xml:space="preserve">Mining Surveillance System (MSS)</w:t>
            </w:r>
          </w:p>
        </w:tc>
        <w:tc>
          <w:tcPr/>
          <w:p>
            <w:pPr>
              <w:pStyle w:val="Compact"/>
              <w:jc w:val="left"/>
            </w:pPr>
            <w:r>
              <w:t xml:space="preserve">A</w:t>
            </w:r>
            <w:r>
              <w:t xml:space="preserve"> </w:t>
            </w:r>
            <w:r>
              <w:rPr>
                <w:bCs/>
                <w:b/>
              </w:rPr>
              <w:t xml:space="preserve">separate</w:t>
            </w:r>
            <w:r>
              <w:t xml:space="preserve"> </w:t>
            </w:r>
            <w:r>
              <w:t xml:space="preserve">Ministry of Mines satellite system for illegal mining, all minerals</w:t>
            </w:r>
          </w:p>
        </w:tc>
        <w:tc>
          <w:tcPr/>
          <w:p>
            <w:pPr>
              <w:pStyle w:val="Compact"/>
              <w:jc w:val="left"/>
            </w:pPr>
            <w:r>
              <w:t xml:space="preserve">Institutional duplication — two ministries running parallel satellite surveillance</w:t>
            </w:r>
          </w:p>
        </w:tc>
      </w:tr>
      <w:tr>
        <w:tc>
          <w:tcPr/>
          <w:p>
            <w:pPr>
              <w:pStyle w:val="Compact"/>
              <w:jc w:val="left"/>
            </w:pPr>
            <w:r>
              <w:rPr>
                <w:bCs/>
                <w:b/>
              </w:rPr>
              <w:t xml:space="preserve">PARIVESH / 2.0</w:t>
            </w:r>
          </w:p>
        </w:tc>
        <w:tc>
          <w:tcPr/>
          <w:p>
            <w:pPr>
              <w:pStyle w:val="Compact"/>
              <w:jc w:val="left"/>
            </w:pPr>
            <w:r>
              <w:t xml:space="preserve">Single-window clearance and compliance filing</w:t>
            </w:r>
          </w:p>
        </w:tc>
        <w:tc>
          <w:tcPr/>
          <w:p>
            <w:pPr>
              <w:pStyle w:val="Compact"/>
              <w:jc w:val="left"/>
            </w:pPr>
            <w:r>
              <w:t xml:space="preserve">Half-yearly compliance is self-declared; digitises paperwork without verifying field conditions</w:t>
            </w:r>
          </w:p>
        </w:tc>
      </w:tr>
      <w:tr>
        <w:tc>
          <w:tcPr/>
          <w:p>
            <w:pPr>
              <w:pStyle w:val="Compact"/>
              <w:jc w:val="left"/>
            </w:pPr>
            <w:r>
              <w:rPr>
                <w:bCs/>
                <w:b/>
              </w:rPr>
              <w:t xml:space="preserve">Star Rating Portal</w:t>
            </w:r>
          </w:p>
        </w:tc>
        <w:tc>
          <w:tcPr/>
          <w:p>
            <w:pPr>
              <w:pStyle w:val="Compact"/>
              <w:jc w:val="left"/>
            </w:pPr>
            <w:r>
              <w:t xml:space="preserve">Annual seven-parameter evaluation</w:t>
            </w:r>
          </w:p>
        </w:tc>
        <w:tc>
          <w:tcPr/>
          <w:p>
            <w:pPr>
              <w:pStyle w:val="Compact"/>
              <w:jc w:val="left"/>
            </w:pPr>
            <w:r>
              <w:t xml:space="preserve">See 3.3 — 90% self-certified</w:t>
            </w:r>
          </w:p>
        </w:tc>
      </w:tr>
      <w:tr>
        <w:tc>
          <w:tcPr/>
          <w:p>
            <w:pPr>
              <w:pStyle w:val="Compact"/>
              <w:jc w:val="left"/>
            </w:pPr>
            <w:r>
              <w:rPr>
                <w:bCs/>
                <w:b/>
              </w:rPr>
              <w:t xml:space="preserve">ETMS + local methane detectors</w:t>
            </w:r>
          </w:p>
        </w:tc>
        <w:tc>
          <w:tcPr/>
          <w:p>
            <w:pPr>
              <w:pStyle w:val="Compact"/>
              <w:jc w:val="left"/>
            </w:pPr>
            <w:r>
              <w:t xml:space="preserve">Continuous underground gas and environment monitoring</w:t>
            </w:r>
          </w:p>
        </w:tc>
        <w:tc>
          <w:tcPr/>
          <w:p>
            <w:pPr>
              <w:pStyle w:val="Compact"/>
              <w:jc w:val="left"/>
            </w:pPr>
            <w:r>
              <w:t xml:space="preserve">No independent audit of coverage or reliability found</w:t>
            </w:r>
          </w:p>
        </w:tc>
      </w:tr>
      <w:tr>
        <w:tc>
          <w:tcPr/>
          <w:p>
            <w:pPr>
              <w:pStyle w:val="Compact"/>
              <w:jc w:val="left"/>
            </w:pPr>
            <w:r>
              <w:rPr>
                <w:bCs/>
                <w:b/>
              </w:rPr>
              <w:t xml:space="preserve">OITDS + geo-fenced e-surveillance</w:t>
            </w:r>
          </w:p>
        </w:tc>
        <w:tc>
          <w:tcPr/>
          <w:p>
            <w:pPr>
              <w:pStyle w:val="Compact"/>
              <w:jc w:val="left"/>
            </w:pPr>
            <w:r>
              <w:t xml:space="preserve">GPS tracking of heavy earth-moving machinery in opencast mines</w:t>
            </w:r>
          </w:p>
        </w:tc>
        <w:tc>
          <w:tcPr/>
          <w:p>
            <w:pPr>
              <w:pStyle w:val="Compact"/>
              <w:jc w:val="left"/>
            </w:pPr>
            <w:r>
              <w:t xml:space="preserve">No independent critique found</w:t>
            </w:r>
          </w:p>
        </w:tc>
      </w:tr>
      <w:tr>
        <w:tc>
          <w:tcPr/>
          <w:p>
            <w:pPr>
              <w:pStyle w:val="Compact"/>
              <w:jc w:val="left"/>
            </w:pPr>
            <w:r>
              <w:rPr>
                <w:bCs/>
                <w:b/>
              </w:rPr>
              <w:t xml:space="preserve">Slope Stability Radar, CAAQMS</w:t>
            </w:r>
          </w:p>
        </w:tc>
        <w:tc>
          <w:tcPr/>
          <w:p>
            <w:pPr>
              <w:pStyle w:val="Compact"/>
              <w:jc w:val="left"/>
            </w:pPr>
            <w:r>
              <w:t xml:space="preserve">Bench and dump stability; continuous ambient air quality</w:t>
            </w:r>
          </w:p>
        </w:tc>
        <w:tc>
          <w:tcPr/>
          <w:p>
            <w:pPr>
              <w:pStyle w:val="Compact"/>
              <w:jc w:val="left"/>
            </w:pPr>
            <w:r>
              <w:t xml:space="preserve">Standing Committee still recorded records-versus-field discrepancies with CAAQMS deployed</w:t>
            </w:r>
          </w:p>
        </w:tc>
      </w:tr>
      <w:tr>
        <w:tc>
          <w:tcPr/>
          <w:p>
            <w:pPr>
              <w:pStyle w:val="Compact"/>
              <w:jc w:val="left"/>
            </w:pPr>
            <w:r>
              <w:rPr>
                <w:bCs/>
                <w:b/>
              </w:rPr>
              <w:t xml:space="preserve">CIL SAP ERP</w:t>
            </w:r>
          </w:p>
        </w:tc>
        <w:tc>
          <w:tcPr/>
          <w:p>
            <w:pPr>
              <w:pStyle w:val="Compact"/>
              <w:jc w:val="left"/>
            </w:pPr>
            <w:r>
              <w:t xml:space="preserve">Tech Mahindra-built ERP for production and stock visibility</w:t>
            </w:r>
          </w:p>
        </w:tc>
        <w:tc>
          <w:tcPr/>
          <w:p>
            <w:pPr>
              <w:pStyle w:val="Compact"/>
              <w:jc w:val="left"/>
            </w:pPr>
            <w:r>
              <w:t xml:space="preserve">As at March 2025, scope was corporate office plus</w:t>
            </w:r>
            <w:r>
              <w:t xml:space="preserve"> </w:t>
            </w:r>
            <w:r>
              <w:rPr>
                <w:bCs/>
                <w:b/>
              </w:rPr>
              <w:t xml:space="preserve">only 3 subsidiaries</w:t>
            </w:r>
            <w:r>
              <w:t xml:space="preserve"> </w:t>
            </w:r>
            <w:r>
              <w:t xml:space="preserve">(MCL, WCL, NEC)</w:t>
            </w:r>
          </w:p>
        </w:tc>
      </w:tr>
      <w:tr>
        <w:tc>
          <w:tcPr/>
          <w:p>
            <w:pPr>
              <w:pStyle w:val="Compact"/>
              <w:jc w:val="left"/>
            </w:pPr>
            <w:r>
              <w:rPr>
                <w:bCs/>
                <w:b/>
              </w:rPr>
              <w:t xml:space="preserve">Project Digicoal</w:t>
            </w:r>
          </w:p>
        </w:tc>
        <w:tc>
          <w:tcPr/>
          <w:p>
            <w:pPr>
              <w:pStyle w:val="Compact"/>
              <w:jc w:val="left"/>
            </w:pPr>
            <w:r>
              <w:t xml:space="preserve">Accenture pilot: drone survey, land-record digitisation, predictive maintenance, launched April 2023</w:t>
            </w:r>
          </w:p>
        </w:tc>
        <w:tc>
          <w:tcPr/>
          <w:p>
            <w:pPr>
              <w:pStyle w:val="Compact"/>
              <w:jc w:val="left"/>
            </w:pPr>
            <w:r>
              <w:rPr>
                <w:bCs/>
                <w:b/>
              </w:rPr>
              <w:t xml:space="preserve">7 mines out of 313.</w:t>
            </w:r>
            <w:r>
              <w:t xml:space="preserve"> </w:t>
            </w:r>
            <w:r>
              <w:t xml:space="preserve">No evidence found that it has scaled</w:t>
            </w:r>
          </w:p>
        </w:tc>
      </w:tr>
      <w:tr>
        <w:tc>
          <w:tcPr/>
          <w:p>
            <w:pPr>
              <w:pStyle w:val="Compact"/>
              <w:jc w:val="left"/>
            </w:pPr>
            <w:r>
              <w:rPr>
                <w:bCs/>
                <w:b/>
              </w:rPr>
              <w:t xml:space="preserve">ICCC at WCL HQ</w:t>
            </w:r>
          </w:p>
        </w:tc>
        <w:tc>
          <w:tcPr/>
          <w:p>
            <w:pPr>
              <w:pStyle w:val="Compact"/>
              <w:jc w:val="left"/>
            </w:pPr>
            <w:r>
              <w:t xml:space="preserve">AI-enabled surveillance integrating CCTV, GPS, RFID, IoT and drone feeds</w:t>
            </w:r>
          </w:p>
        </w:tc>
        <w:tc>
          <w:tcPr/>
          <w:p>
            <w:pPr>
              <w:pStyle w:val="Compact"/>
              <w:jc w:val="left"/>
            </w:pPr>
            <w:r>
              <w:t xml:space="preserve">Public documentation thin; no effectiveness data</w:t>
            </w:r>
          </w:p>
        </w:tc>
      </w:tr>
      <w:tr>
        <w:tc>
          <w:tcPr/>
          <w:p>
            <w:pPr>
              <w:pStyle w:val="Compact"/>
              <w:jc w:val="left"/>
            </w:pPr>
            <w:r>
              <w:rPr>
                <w:bCs/>
                <w:b/>
              </w:rPr>
              <w:t xml:space="preserve">Shram Suvidha Portal</w:t>
            </w:r>
          </w:p>
        </w:tc>
        <w:tc>
          <w:tcPr/>
          <w:p>
            <w:pPr>
              <w:pStyle w:val="Compact"/>
              <w:jc w:val="left"/>
            </w:pPr>
            <w:r>
              <w:t xml:space="preserve">DGMS online annual returns, risk-based inspection allocation</w:t>
            </w:r>
          </w:p>
        </w:tc>
        <w:tc>
          <w:tcPr/>
          <w:p>
            <w:pPr>
              <w:pStyle w:val="Compact"/>
              <w:jc w:val="left"/>
            </w:pPr>
            <w:r>
              <w:t xml:space="preserve">No data on how many inspections are actually risk-triggered rather than routine</w:t>
            </w:r>
          </w:p>
        </w:tc>
      </w:tr>
    </w:tbl>
    <w:p>
      <w:pPr>
        <w:pStyle w:val="BodyText"/>
      </w:pPr>
      <w:r>
        <w:rPr>
          <w:bCs/>
          <w:b/>
        </w:rPr>
        <w:t xml:space="preserve">The pattern across this table is the whole argument.</w:t>
      </w:r>
      <w:r>
        <w:t xml:space="preserve"> </w:t>
      </w:r>
      <w:r>
        <w:t xml:space="preserve">The sector is not un-digitised. It is digitised in fragments, by different ministries, at pilot scale, with self-declaration at the point where verification matters most. Nobody has joined the statute to the sensor to the evidence.</w:t>
      </w:r>
    </w:p>
    <w:p>
      <w:r>
        <w:pict>
          <v:rect style="width:0;height:1.5pt" o:hralign="center" o:hrstd="t" o:hr="t"/>
        </w:pict>
      </w:r>
    </w:p>
    <w:bookmarkEnd w:id="37"/>
    <w:bookmarkStart w:id="42" w:name="safety-and-accident-data"/>
    <w:p>
      <w:pPr>
        <w:pStyle w:val="Heading2"/>
      </w:pPr>
      <w:r>
        <w:t xml:space="preserve">5. Safety and accident data</w:t>
      </w:r>
    </w:p>
    <w:bookmarkStart w:id="38" w:name="X13fe0a2feaa22126f827a2b4a1361164bbc19da"/>
    <w:p>
      <w:pPr>
        <w:pStyle w:val="Heading3"/>
      </w:pPr>
      <w:r>
        <w:t xml:space="preserve">5.1 Coal India Limited, from Ministry of Coal annual reports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Period</w:t>
            </w:r>
          </w:p>
        </w:tc>
        <w:tc>
          <w:tcPr/>
          <w:p>
            <w:pPr>
              <w:pStyle w:val="Compact"/>
              <w:jc w:val="left"/>
            </w:pPr>
            <w:r>
              <w:t xml:space="preserve">Fatal accidents</w:t>
            </w:r>
          </w:p>
        </w:tc>
        <w:tc>
          <w:tcPr/>
          <w:p>
            <w:pPr>
              <w:pStyle w:val="Compact"/>
              <w:jc w:val="left"/>
            </w:pPr>
            <w:r>
              <w:t xml:space="preserve">Fatalities</w:t>
            </w:r>
          </w:p>
        </w:tc>
        <w:tc>
          <w:tcPr/>
          <w:p>
            <w:pPr>
              <w:pStyle w:val="Compact"/>
              <w:jc w:val="left"/>
            </w:pPr>
            <w:r>
              <w:t xml:space="preserve">Serious accidents</w:t>
            </w:r>
          </w:p>
        </w:tc>
        <w:tc>
          <w:tcPr/>
          <w:p>
            <w:pPr>
              <w:pStyle w:val="Compact"/>
              <w:jc w:val="left"/>
            </w:pPr>
            <w:r>
              <w:t xml:space="preserve">Fatality rate /MT</w:t>
            </w:r>
          </w:p>
        </w:tc>
      </w:tr>
      <w:tr>
        <w:tc>
          <w:tcPr/>
          <w:p>
            <w:pPr>
              <w:pStyle w:val="Compact"/>
              <w:jc w:val="left"/>
            </w:pPr>
            <w:r>
              <w:t xml:space="preserve">1975–79 average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2.18</w:t>
            </w:r>
          </w:p>
        </w:tc>
      </w:tr>
      <w:tr>
        <w:tc>
          <w:tcPr/>
          <w:p>
            <w:pPr>
              <w:pStyle w:val="Compact"/>
              <w:jc w:val="left"/>
            </w:pPr>
            <w:r>
              <w:t xml:space="preserve">2010–14 average</w:t>
            </w:r>
          </w:p>
        </w:tc>
        <w:tc>
          <w:tcPr/>
          <w:p>
            <w:pPr>
              <w:pStyle w:val="Compact"/>
              <w:jc w:val="left"/>
            </w:pPr>
            <w:r>
              <w:t xml:space="preserve">56</w:t>
            </w:r>
          </w:p>
        </w:tc>
        <w:tc>
          <w:tcPr/>
          <w:p>
            <w:pPr>
              <w:pStyle w:val="Compact"/>
              <w:jc w:val="left"/>
            </w:pPr>
            <w:r>
              <w:t xml:space="preserve">62</w:t>
            </w:r>
          </w:p>
        </w:tc>
        <w:tc>
          <w:tcPr/>
          <w:p>
            <w:pPr>
              <w:pStyle w:val="Compact"/>
              <w:jc w:val="left"/>
            </w:pPr>
            <w:r>
              <w:t xml:space="preserve">219</w:t>
            </w:r>
          </w:p>
        </w:tc>
        <w:tc>
          <w:tcPr/>
          <w:p>
            <w:pPr>
              <w:pStyle w:val="Compact"/>
              <w:jc w:val="left"/>
            </w:pPr>
            <w:r>
              <w:t xml:space="preserve">—</w:t>
            </w:r>
          </w:p>
        </w:tc>
      </w:tr>
      <w:tr>
        <w:tc>
          <w:tcPr/>
          <w:p>
            <w:pPr>
              <w:pStyle w:val="Compact"/>
              <w:jc w:val="left"/>
            </w:pPr>
            <w:r>
              <w:t xml:space="preserve">2015–19 average</w:t>
            </w:r>
          </w:p>
        </w:tc>
        <w:tc>
          <w:tcPr/>
          <w:p>
            <w:pPr>
              <w:pStyle w:val="Compact"/>
              <w:jc w:val="left"/>
            </w:pPr>
            <w:r>
              <w:t xml:space="preserve">33</w:t>
            </w:r>
          </w:p>
        </w:tc>
        <w:tc>
          <w:tcPr/>
          <w:p>
            <w:pPr>
              <w:pStyle w:val="Compact"/>
              <w:jc w:val="left"/>
            </w:pPr>
            <w:r>
              <w:t xml:space="preserve">43</w:t>
            </w:r>
          </w:p>
        </w:tc>
        <w:tc>
          <w:tcPr/>
          <w:p>
            <w:pPr>
              <w:pStyle w:val="Compact"/>
              <w:jc w:val="left"/>
            </w:pPr>
            <w:r>
              <w:t xml:space="preserve">107</w:t>
            </w:r>
          </w:p>
        </w:tc>
        <w:tc>
          <w:tcPr/>
          <w:p>
            <w:pPr>
              <w:pStyle w:val="Compact"/>
              <w:jc w:val="left"/>
            </w:pPr>
            <w:r>
              <w:t xml:space="preserve">—</w:t>
            </w:r>
          </w:p>
        </w:tc>
      </w:tr>
      <w:tr>
        <w:tc>
          <w:tcPr/>
          <w:p>
            <w:pPr>
              <w:pStyle w:val="Compact"/>
              <w:jc w:val="left"/>
            </w:pPr>
            <w:r>
              <w:t xml:space="preserve">2023 (Jan–Nov)</w:t>
            </w:r>
          </w:p>
        </w:tc>
        <w:tc>
          <w:tcPr/>
          <w:p>
            <w:pPr>
              <w:pStyle w:val="Compact"/>
              <w:jc w:val="left"/>
            </w:pPr>
            <w:r>
              <w:t xml:space="preserve">26</w:t>
            </w:r>
          </w:p>
        </w:tc>
        <w:tc>
          <w:tcPr/>
          <w:p>
            <w:pPr>
              <w:pStyle w:val="Compact"/>
              <w:jc w:val="left"/>
            </w:pPr>
            <w:r>
              <w:t xml:space="preserve">29</w:t>
            </w:r>
          </w:p>
        </w:tc>
        <w:tc>
          <w:tcPr/>
          <w:p>
            <w:pPr>
              <w:pStyle w:val="Compact"/>
              <w:jc w:val="left"/>
            </w:pPr>
            <w:r>
              <w:t xml:space="preserve">34</w:t>
            </w:r>
          </w:p>
        </w:tc>
        <w:tc>
          <w:tcPr/>
          <w:p>
            <w:pPr>
              <w:pStyle w:val="Compact"/>
              <w:jc w:val="left"/>
            </w:pPr>
            <w:r>
              <w:t xml:space="preserve">0.04</w:t>
            </w:r>
          </w:p>
        </w:tc>
      </w:tr>
      <w:tr>
        <w:tc>
          <w:tcPr/>
          <w:p>
            <w:pPr>
              <w:pStyle w:val="Compact"/>
              <w:jc w:val="left"/>
            </w:pPr>
            <w:r>
              <w:t xml:space="preserve">2024 (Jan–Nov)</w:t>
            </w:r>
          </w:p>
        </w:tc>
        <w:tc>
          <w:tcPr/>
          <w:p>
            <w:pPr>
              <w:pStyle w:val="Compact"/>
              <w:jc w:val="left"/>
            </w:pPr>
            <w:r>
              <w:t xml:space="preserve">22</w:t>
            </w:r>
          </w:p>
        </w:tc>
        <w:tc>
          <w:tcPr/>
          <w:p>
            <w:pPr>
              <w:pStyle w:val="Compact"/>
              <w:jc w:val="left"/>
            </w:pPr>
            <w:r>
              <w:t xml:space="preserve">24</w:t>
            </w:r>
          </w:p>
        </w:tc>
        <w:tc>
          <w:tcPr/>
          <w:p>
            <w:pPr>
              <w:pStyle w:val="Compact"/>
              <w:jc w:val="left"/>
            </w:pPr>
            <w:r>
              <w:t xml:space="preserve">28</w:t>
            </w:r>
          </w:p>
        </w:tc>
        <w:tc>
          <w:tcPr/>
          <w:p>
            <w:pPr>
              <w:pStyle w:val="Compact"/>
              <w:jc w:val="left"/>
            </w:pPr>
            <w:r>
              <w:t xml:space="preserve">0.04</w:t>
            </w:r>
          </w:p>
        </w:tc>
      </w:tr>
      <w:tr>
        <w:tc>
          <w:tcPr/>
          <w:p>
            <w:pPr>
              <w:pStyle w:val="Compact"/>
              <w:jc w:val="left"/>
            </w:pPr>
            <w:r>
              <w:t xml:space="preserve">2025 (Jan–Nov)</w:t>
            </w:r>
          </w:p>
        </w:tc>
        <w:tc>
          <w:tcPr/>
          <w:p>
            <w:pPr>
              <w:pStyle w:val="Compact"/>
              <w:jc w:val="left"/>
            </w:pPr>
            <w:r>
              <w:t xml:space="preserve">25</w:t>
            </w:r>
          </w:p>
        </w:tc>
        <w:tc>
          <w:tcPr/>
          <w:p>
            <w:pPr>
              <w:pStyle w:val="Compact"/>
              <w:jc w:val="left"/>
            </w:pPr>
            <w:r>
              <w:t xml:space="preserve">32</w:t>
            </w:r>
          </w:p>
        </w:tc>
        <w:tc>
          <w:tcPr/>
          <w:p>
            <w:pPr>
              <w:pStyle w:val="Compact"/>
              <w:jc w:val="left"/>
            </w:pPr>
            <w:r>
              <w:t xml:space="preserve">26</w:t>
            </w:r>
          </w:p>
        </w:tc>
        <w:tc>
          <w:tcPr/>
          <w:p>
            <w:pPr>
              <w:pStyle w:val="Compact"/>
              <w:jc w:val="left"/>
            </w:pPr>
            <w:r>
              <w:t xml:space="preserve">0.05</w:t>
            </w:r>
          </w:p>
        </w:tc>
      </w:tr>
    </w:tbl>
    <w:p>
      <w:pPr>
        <w:pStyle w:val="BodyText"/>
      </w:pPr>
      <w:r>
        <w:rPr>
          <w:bCs/>
          <w:b/>
        </w:rPr>
        <w:t xml:space="preserve">A real inconsistency to be aware of.</w:t>
      </w:r>
      <w:r>
        <w:t xml:space="preserve"> </w:t>
      </w:r>
      <w:r>
        <w:t xml:space="preserve">Two consecutive editions of the same annual report give different 2020–24 five-year averages for CIL: one says 26 fatal accidents and 51 fatalities, the other 24 and 27. The fatality gap is too large to be explained by a one-year rolling shift.</w:t>
      </w:r>
      <w:r>
        <w:t xml:space="preserve"> </w:t>
      </w:r>
      <w:r>
        <w:rPr>
          <w:bCs/>
          <w:b/>
        </w:rPr>
        <w:t xml:space="preserve">Always cite the specific report edition.</w:t>
      </w:r>
      <w:r>
        <w:t xml:space="preserve"> </w:t>
      </w:r>
      <w:r>
        <w:t xml:space="preserve">The deck uses the 2025 figure (25 fatal accidents at CIL mines) precisely because it is a single dated year rather than a disputed average.</w:t>
      </w:r>
    </w:p>
    <w:p>
      <w:pPr>
        <w:pStyle w:val="BodyText"/>
      </w:pPr>
      <w:r>
        <w:t xml:space="preserve">Subsidiary breakdown for Jan–Nov 2024: ECL 4 fatal / 5 deaths; BCCL 0/0; CCL 1/1; NCL 5/6; WCL 1/1; SECL 4/4; MCL 2/2; NEC 0/0.</w:t>
      </w:r>
    </w:p>
    <w:p>
      <w:pPr>
        <w:pStyle w:val="BodyText"/>
      </w:pPr>
      <w:r>
        <w:rPr>
          <w:iCs/>
          <w:i/>
        </w:rPr>
        <w:t xml:space="preserve">Sources: Ministry of Coal Annual Report Ch.14, editions 2024-25 and 2025-26; Ch.11, 2019-20 for the 1975-79 baseline.</w:t>
      </w:r>
    </w:p>
    <w:bookmarkEnd w:id="38"/>
    <w:bookmarkStart w:id="39" w:name="national-figures-do-not-reconcile"/>
    <w:p>
      <w:pPr>
        <w:pStyle w:val="Heading3"/>
      </w:pPr>
      <w:r>
        <w:t xml:space="preserve">5.2 National figures do not reconcile</w:t>
      </w:r>
    </w:p>
    <w:p>
      <w:pPr>
        <w:pStyle w:val="FirstParagraph"/>
      </w:pPr>
      <w:r>
        <w:t xml:space="preserve">Three sources give three different pictures of 2024:</w:t>
      </w:r>
    </w:p>
    <w:p>
      <w:pPr>
        <w:numPr>
          <w:ilvl w:val="0"/>
          <w:numId w:val="1007"/>
        </w:numPr>
        <w:pStyle w:val="Compact"/>
      </w:pPr>
      <w:r>
        <w:t xml:space="preserve">A parliamentary reply, as reported:</w:t>
      </w:r>
      <w:r>
        <w:t xml:space="preserve"> </w:t>
      </w:r>
      <w:r>
        <w:rPr>
          <w:bCs/>
          <w:b/>
        </w:rPr>
        <w:t xml:space="preserve">53 deaths</w:t>
      </w:r>
      <w:r>
        <w:t xml:space="preserve"> </w:t>
      </w:r>
      <w:r>
        <w:t xml:space="preserve">in coal and lignite mines, all operators</w:t>
      </w:r>
    </w:p>
    <w:p>
      <w:pPr>
        <w:numPr>
          <w:ilvl w:val="0"/>
          <w:numId w:val="1007"/>
        </w:numPr>
        <w:pStyle w:val="Compact"/>
      </w:pPr>
      <w:r>
        <w:t xml:space="preserve">DGMS’s own account:</w:t>
      </w:r>
      <w:r>
        <w:t xml:space="preserve"> </w:t>
      </w:r>
      <w:r>
        <w:rPr>
          <w:bCs/>
          <w:b/>
        </w:rPr>
        <w:t xml:space="preserve">38 fatal accidents, 40 fatalities</w:t>
      </w:r>
      <w:r>
        <w:t xml:space="preserve"> </w:t>
      </w:r>
      <w:r>
        <w:t xml:space="preserve">in coal mines</w:t>
      </w:r>
    </w:p>
    <w:p>
      <w:pPr>
        <w:numPr>
          <w:ilvl w:val="0"/>
          <w:numId w:val="1007"/>
        </w:numPr>
        <w:pStyle w:val="Compact"/>
      </w:pPr>
      <w:r>
        <w:t xml:space="preserve">CIL, SCCL and NLCIL partial-year figures combined suggest roughly</w:t>
      </w:r>
      <w:r>
        <w:t xml:space="preserve"> </w:t>
      </w:r>
      <w:r>
        <w:rPr>
          <w:bCs/>
          <w:b/>
        </w:rPr>
        <w:t xml:space="preserve">31</w:t>
      </w:r>
    </w:p>
    <w:p>
      <w:pPr>
        <w:pStyle w:val="FirstParagraph"/>
      </w:pPr>
      <w:r>
        <w:t xml:space="preserve">These cannot be reconciled from available sources. That failure to reconcile is itself worth citing — it is direct evidence of fragmented, non-standardised accident reporting across agencies, which is the problem the platform addresses. Do not present any one of these as</w:t>
      </w:r>
      <w:r>
        <w:t xml:space="preserve"> </w:t>
      </w:r>
      <w:r>
        <w:rPr>
          <w:iCs/>
          <w:i/>
        </w:rPr>
        <w:t xml:space="preserve">the</w:t>
      </w:r>
      <w:r>
        <w:t xml:space="preserve"> </w:t>
      </w:r>
      <w:r>
        <w:t xml:space="preserve">national figure.</w:t>
      </w:r>
    </w:p>
    <w:p>
      <w:pPr>
        <w:pStyle w:val="BodyText"/>
      </w:pPr>
      <w:r>
        <w:rPr>
          <w:iCs/>
          <w:i/>
        </w:rPr>
        <w:t xml:space="preserve">Sources: ETV Bharat reporting a parliamentary answer; DGMS official account, snippet only; Ministry of Coal annual reports. eparlib.sansad.in was inaccessible, so the original parliamentary text could not be checked.</w:t>
      </w:r>
    </w:p>
    <w:bookmarkEnd w:id="39"/>
    <w:bookmarkStart w:id="40" w:name="cause-wise-breakdown"/>
    <w:p>
      <w:pPr>
        <w:pStyle w:val="Heading3"/>
      </w:pPr>
      <w:r>
        <w:t xml:space="preserve">5.3 Cause-wise breakdown</w:t>
      </w:r>
    </w:p>
    <w:p>
      <w:pPr>
        <w:pStyle w:val="FirstParagraph"/>
      </w:pPr>
      <w:r>
        <w:rPr>
          <w:bCs/>
          <w:b/>
        </w:rPr>
        <w:t xml:space="preserve">No cause-wise breakdown exists in any accessible primary government document.</w:t>
      </w:r>
      <w:r>
        <w:t xml:space="preserve"> </w:t>
      </w:r>
      <w:r>
        <w:t xml:space="preserve">Two editions of the Ministry’s own safety chapter were checked specifically for this table and it is not present.</w:t>
      </w:r>
    </w:p>
    <w:p>
      <w:pPr>
        <w:pStyle w:val="BodyText"/>
      </w:pPr>
      <w:r>
        <w:t xml:space="preserve">A non-peer-reviewed preprint covering 2015–2025 gives transportation 33%, roof and ground collapse 25%, falls 13%, machinery 12%, electricity 5%.</w:t>
      </w:r>
      <w:r>
        <w:t xml:space="preserve"> </w:t>
      </w:r>
      <w:r>
        <w:rPr>
          <w:bCs/>
          <w:b/>
        </w:rPr>
        <w:t xml:space="preserve">Treat as low confidence</w:t>
      </w:r>
      <w:r>
        <w:t xml:space="preserve"> </w:t>
      </w:r>
      <w:r>
        <w:t xml:space="preserve">— its stated data source is an environmental database, which is an odd origin for accident-cause data.</w:t>
      </w:r>
    </w:p>
    <w:p>
      <w:pPr>
        <w:pStyle w:val="BodyText"/>
      </w:pPr>
      <w:r>
        <w:t xml:space="preserve">For explosions specifically, a peer-reviewed source covering 1900–2020 gives 39 major explosions causing 1,277 deaths, with Jharkhand and West Bengal accounting for 71.79% of explosions and 90.68% of casualties; methane triggered around 92% of them.</w:t>
      </w:r>
    </w:p>
    <w:p>
      <w:pPr>
        <w:pStyle w:val="BodyText"/>
      </w:pPr>
      <w:r>
        <w:t xml:space="preserve">The absence of a public cause-wise breakdown is a finding in its own right. A system that classifies every incident against the clause it breaches would generate that dataset as a by-product.</w:t>
      </w:r>
    </w:p>
    <w:bookmarkEnd w:id="40"/>
    <w:bookmarkStart w:id="41" w:name="the-long-trend"/>
    <w:p>
      <w:pPr>
        <w:pStyle w:val="Heading3"/>
      </w:pPr>
      <w:r>
        <w:t xml:space="preserve">5.4 The long trend</w:t>
      </w:r>
    </w:p>
    <w:p>
      <w:pPr>
        <w:pStyle w:val="FirstParagraph"/>
      </w:pPr>
      <w:r>
        <w:t xml:space="preserve">CIL’s fatality rate per million tonnes fell from 2.18 in 1975–79 to 0.04–0.05 in 2020–25 — a reduction of more than 97%. This is genuine and should be acknowledged in the pitch. The argument is not that Indian coal mining is unsafe by historical standards; it is that the remaining failures are concentrated in the verification chain rather than in engineering.</w:t>
      </w:r>
    </w:p>
    <w:p>
      <w:r>
        <w:pict>
          <v:rect style="width:0;height:1.5pt" o:hralign="center" o:hrstd="t" o:hr="t"/>
        </w:pict>
      </w:r>
    </w:p>
    <w:bookmarkEnd w:id="41"/>
    <w:bookmarkEnd w:id="42"/>
    <w:bookmarkStart w:id="43" w:name="scale-and-structure"/>
    <w:p>
      <w:pPr>
        <w:pStyle w:val="Heading2"/>
      </w:pPr>
      <w:r>
        <w:t xml:space="preserve">6. Scale and structure</w:t>
      </w:r>
    </w:p>
    <w:p>
      <w:pPr>
        <w:pStyle w:val="FirstParagraph"/>
      </w:pPr>
      <w:r>
        <w:rPr>
          <w:bCs/>
          <w:b/>
        </w:rPr>
        <w:t xml:space="preserve">Coal India Limited</w:t>
      </w:r>
      <w:r>
        <w:t xml:space="preserve"> </w:t>
      </w:r>
      <w:r>
        <w:t xml:space="preserve">— a Maharatna company established September 1975, holding seven coal-producing subsidiaries plus the directly-run North Eastern Coalfields and CMPDI (Central Mine Planning &amp; Design Institute, a Mini Ratna handling exploration, planning and design).</w:t>
      </w:r>
    </w:p>
    <w:p>
      <w:pPr>
        <w:numPr>
          <w:ilvl w:val="0"/>
          <w:numId w:val="1008"/>
        </w:numPr>
        <w:pStyle w:val="Compact"/>
      </w:pPr>
      <w:r>
        <w:rPr>
          <w:bCs/>
          <w:b/>
        </w:rPr>
        <w:t xml:space="preserve">313 working mines as at 1 April 2024: 131 underground, 168 opencast, 14 mixed</w:t>
      </w:r>
    </w:p>
    <w:p>
      <w:pPr>
        <w:numPr>
          <w:ilvl w:val="0"/>
          <w:numId w:val="1008"/>
        </w:numPr>
        <w:pStyle w:val="Compact"/>
      </w:pPr>
      <w:r>
        <w:t xml:space="preserve">Production: 773.81 MT (2023-24),</w:t>
      </w:r>
      <w:r>
        <w:t xml:space="preserve"> </w:t>
      </w:r>
      <w:r>
        <w:rPr>
          <w:bCs/>
          <w:b/>
        </w:rPr>
        <w:t xml:space="preserve">781.06 MT (2024-25)</w:t>
      </w:r>
    </w:p>
    <w:p>
      <w:pPr>
        <w:numPr>
          <w:ilvl w:val="0"/>
          <w:numId w:val="1008"/>
        </w:numPr>
        <w:pStyle w:val="Compact"/>
      </w:pPr>
      <w:r>
        <w:t xml:space="preserve">Manpower as at 1 January 2026:</w:t>
      </w:r>
      <w:r>
        <w:t xml:space="preserve"> </w:t>
      </w:r>
      <w:r>
        <w:rPr>
          <w:bCs/>
          <w:b/>
        </w:rPr>
        <w:t xml:space="preserve">214,333 employees</w:t>
      </w:r>
      <w:r>
        <w:t xml:space="preserve">, plus</w:t>
      </w:r>
      <w:r>
        <w:t xml:space="preserve"> </w:t>
      </w:r>
      <w:r>
        <w:rPr>
          <w:bCs/>
          <w:b/>
        </w:rPr>
        <w:t xml:space="preserve">114,844 contractor workers</w:t>
      </w:r>
      <w:r>
        <w:t xml:space="preserve"> </w:t>
      </w:r>
      <w:r>
        <w:t xml:space="preserve">through registered contractors</w:t>
      </w:r>
    </w:p>
    <w:p>
      <w:pPr>
        <w:numPr>
          <w:ilvl w:val="0"/>
          <w:numId w:val="1008"/>
        </w:numPr>
        <w:pStyle w:val="Compact"/>
      </w:pPr>
      <w:r>
        <w:t xml:space="preserve">Earlier count as at 1 April 2024: 228,861 employees — the decline is consistent with long-term mechanisation, not a data conflict</w:t>
      </w:r>
    </w:p>
    <w:p>
      <w:pPr>
        <w:pStyle w:val="FirstParagraph"/>
      </w:pPr>
      <w:r>
        <w:t xml:space="preserve">Subsidiary manpower as at 1 January 2026: ECL 45,264; BCCL 30,962; CCL 32,467; WCL 31,468; SECL 36,674; MCL 20,705; NCL 12,972; NEC 506; CMPDI 2,661; CIL HQ 654.</w:t>
      </w:r>
    </w:p>
    <w:p>
      <w:pPr>
        <w:pStyle w:val="BodyText"/>
      </w:pPr>
      <w:r>
        <w:rPr>
          <w:bCs/>
          <w:b/>
        </w:rPr>
        <w:t xml:space="preserve">Beyond CIL:</w:t>
      </w:r>
    </w:p>
    <w:p>
      <w:pPr>
        <w:numPr>
          <w:ilvl w:val="0"/>
          <w:numId w:val="1009"/>
        </w:numPr>
        <w:pStyle w:val="Compact"/>
      </w:pPr>
      <w:r>
        <w:rPr>
          <w:bCs/>
          <w:b/>
        </w:rPr>
        <w:t xml:space="preserve">SCCL</w:t>
      </w:r>
      <w:r>
        <w:t xml:space="preserve"> </w:t>
      </w:r>
      <w:r>
        <w:t xml:space="preserve">— 51% Telangana, 49% Government of India; 39 operational mines (17 opencast, 22 underground); around 40,893 employees; 65.97 MT produced Jan–Dec 2025</w:t>
      </w:r>
    </w:p>
    <w:p>
      <w:pPr>
        <w:numPr>
          <w:ilvl w:val="0"/>
          <w:numId w:val="1009"/>
        </w:numPr>
        <w:pStyle w:val="Compact"/>
      </w:pPr>
      <w:r>
        <w:rPr>
          <w:bCs/>
          <w:b/>
        </w:rPr>
        <w:t xml:space="preserve">NLC India</w:t>
      </w:r>
      <w:r>
        <w:t xml:space="preserve"> </w:t>
      </w:r>
      <w:r>
        <w:t xml:space="preserve">— Navratna; lignite capacity 30.1 MTPA, coal 20 MTPA</w:t>
      </w:r>
    </w:p>
    <w:p>
      <w:pPr>
        <w:numPr>
          <w:ilvl w:val="0"/>
          <w:numId w:val="1009"/>
        </w:numPr>
        <w:pStyle w:val="Compact"/>
      </w:pPr>
      <w:r>
        <w:rPr>
          <w:bCs/>
          <w:b/>
        </w:rPr>
        <w:t xml:space="preserve">Commercial and captive</w:t>
      </w:r>
      <w:r>
        <w:t xml:space="preserve"> </w:t>
      </w:r>
      <w:r>
        <w:t xml:space="preserve">— 136 blocks auctioned or allotted across 9 states, but only</w:t>
      </w:r>
      <w:r>
        <w:t xml:space="preserve"> </w:t>
      </w:r>
      <w:r>
        <w:rPr>
          <w:bCs/>
          <w:b/>
        </w:rPr>
        <w:t xml:space="preserve">60 actually producing</w:t>
      </w:r>
      <w:r>
        <w:t xml:space="preserve">; captive and commercial production crossed 200 MT for the first time at 210.46 MT in FY 2024-25</w:t>
      </w:r>
    </w:p>
    <w:p>
      <w:pPr>
        <w:numPr>
          <w:ilvl w:val="0"/>
          <w:numId w:val="1009"/>
        </w:numPr>
        <w:pStyle w:val="Compact"/>
      </w:pPr>
      <w:r>
        <w:t xml:space="preserve">All-India coal production: 997.83 MT (2023-24) →</w:t>
      </w:r>
      <w:r>
        <w:t xml:space="preserve"> </w:t>
      </w:r>
      <w:r>
        <w:rPr>
          <w:bCs/>
          <w:b/>
        </w:rPr>
        <w:t xml:space="preserve">1,047.52 MT (2024-25)</w:t>
      </w:r>
    </w:p>
    <w:p>
      <w:pPr>
        <w:pStyle w:val="FirstParagraph"/>
      </w:pPr>
      <w:r>
        <w:t xml:space="preserve">Keep CIL’s 781 MT and all-India’s 1,047 MT distinct. Confusing them is an easy way to lose credibility in a Q&amp;A.</w:t>
      </w:r>
    </w:p>
    <w:p>
      <w:r>
        <w:pict>
          <v:rect style="width:0;height:1.5pt" o:hralign="center" o:hrstd="t" o:hr="t"/>
        </w:pict>
      </w:r>
    </w:p>
    <w:bookmarkEnd w:id="43"/>
    <w:bookmarkStart w:id="44" w:name="what-this-means-for-the-build"/>
    <w:p>
      <w:pPr>
        <w:pStyle w:val="Heading2"/>
      </w:pPr>
      <w:r>
        <w:t xml:space="preserve">7. What this means for the build</w:t>
      </w:r>
    </w:p>
    <w:p>
      <w:pPr>
        <w:pStyle w:val="FirstParagraph"/>
      </w:pPr>
      <w:r>
        <w:t xml:space="preserve">Five things the research changes about how ANUPALAN should be presented and built.</w:t>
      </w:r>
    </w:p>
    <w:p>
      <w:pPr>
        <w:pStyle w:val="BodyText"/>
      </w:pPr>
      <w:r>
        <w:rPr>
          <w:bCs/>
          <w:b/>
        </w:rPr>
        <w:t xml:space="preserve">One — lead with the verification gap, not with AI.</w:t>
      </w:r>
      <w:r>
        <w:t xml:space="preserve"> </w:t>
      </w:r>
      <w:r>
        <w:t xml:space="preserve">The sector’s problem is not an absence of digital systems or of safety engineering. It is that the point where compliance is confirmed is a self-declaration by the party being assessed. CAG, the Standing Committee and the Star Rating investigation all independently document the same failure.</w:t>
      </w:r>
    </w:p>
    <w:p>
      <w:pPr>
        <w:pStyle w:val="BodyText"/>
      </w:pPr>
      <w:r>
        <w:rPr>
          <w:bCs/>
          <w:b/>
        </w:rPr>
        <w:t xml:space="preserve">Two — the sensors already exist.</w:t>
      </w:r>
      <w:r>
        <w:t xml:space="preserve"> </w:t>
      </w:r>
      <w:r>
        <w:t xml:space="preserve">ETMS, methane detectors, strata monitoring, geo-fenced vehicle tracking and slope stability radar are deployed and named in the Ministry’s own annual report. Proposing new hardware would be proposing to solve a problem CIL has already solved. Reading existing instruments is both cheaper and more credible.</w:t>
      </w:r>
    </w:p>
    <w:p>
      <w:pPr>
        <w:pStyle w:val="BodyText"/>
      </w:pPr>
      <w:r>
        <w:rPr>
          <w:bCs/>
          <w:b/>
        </w:rPr>
        <w:t xml:space="preserve">Three — the corpus moves.</w:t>
      </w:r>
      <w:r>
        <w:t xml:space="preserve"> </w:t>
      </w:r>
      <w:r>
        <w:t xml:space="preserve">The Mines Act is repealed on notification of the OSH Code, and draft coal regulations under it are reportedly already circulating. A parsed corpus is not an architectural flourish; it is the only design that survives.</w:t>
      </w:r>
    </w:p>
    <w:p>
      <w:pPr>
        <w:pStyle w:val="BodyText"/>
      </w:pPr>
      <w:r>
        <w:rPr>
          <w:bCs/>
          <w:b/>
        </w:rPr>
        <w:t xml:space="preserve">Four — fragmentation is institutional, not technical.</w:t>
      </w:r>
      <w:r>
        <w:t xml:space="preserve"> </w:t>
      </w:r>
      <w:r>
        <w:t xml:space="preserve">DGMS reports to Labour &amp; Employment; production reports to Coal. CMSMS sits under Coal, MSS under Mines. ERP covers three subsidiaries, Digicoal seven mines. Any honest pitch acknowledges that a unified platform is partly an organisational problem, and proposes a single-subsidiary pilot rather than pretending otherwise.</w:t>
      </w:r>
    </w:p>
    <w:p>
      <w:pPr>
        <w:pStyle w:val="BodyText"/>
      </w:pPr>
      <w:r>
        <w:rPr>
          <w:bCs/>
          <w:b/>
        </w:rPr>
        <w:t xml:space="preserve">Five — the missing datasets are an opportunity.</w:t>
      </w:r>
      <w:r>
        <w:t xml:space="preserve"> </w:t>
      </w:r>
      <w:r>
        <w:t xml:space="preserve">No public cause-wise accident breakdown. No national inspection or prosecution totals. Three irreconcilable national fatality figures. A system that classifies every incident and every inspection against the clause it touches produces all of that as a side effect of doing its main job.</w:t>
      </w:r>
    </w:p>
    <w:p>
      <w:r>
        <w:pict>
          <v:rect style="width:0;height:1.5pt" o:hralign="center" o:hrstd="t" o:hr="t"/>
        </w:pict>
      </w:r>
    </w:p>
    <w:bookmarkEnd w:id="44"/>
    <w:bookmarkStart w:id="45" w:name="access-limitations"/>
    <w:p>
      <w:pPr>
        <w:pStyle w:val="Heading2"/>
      </w:pPr>
      <w:r>
        <w:t xml:space="preserve">Access limitations</w:t>
      </w:r>
    </w:p>
    <w:p>
      <w:pPr>
        <w:pStyle w:val="FirstParagraph"/>
      </w:pPr>
      <w:r>
        <w:t xml:space="preserve">For honesty, these could not be reached and their contents are therefore either secondary-sourced or absent above: dgms.gov.in returned intermittent robots and timeout errors on several PDFs including the Court of Inquiry recommendations page; eparlib.sansad.in blocked all parliamentary Q&amp;A fetches; cpcb.nic.in blocked its categorisation directions; the official sih.gov.in problem-statement detail page for SIH26024 could not be reached; a CAG performance audit focused specifically on DGMS enforcement was searched for and not found — it may not exist as a standalone report.</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2026-08-28T16:42:40Z</dcterms:created>
  <dcterms:modified xsi:type="dcterms:W3CDTF">2026-08-28T16:42:40Z</dcterms:modified>
</cp:coreProperties>
</file>

<file path=docProps/custom.xml><?xml version="1.0" encoding="utf-8"?>
<Properties xmlns="http://schemas.openxmlformats.org/officeDocument/2006/custom-properties" xmlns:vt="http://schemas.openxmlformats.org/officeDocument/2006/docPropsVTypes"/>
</file>