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anupalan-pitch-script-judge-qa"/>
    <w:p>
      <w:pPr>
        <w:pStyle w:val="Heading1"/>
      </w:pPr>
      <w:r>
        <w:t xml:space="preserve">ANUPALAN — Pitch Script &amp; Judge Q&amp;A</w:t>
      </w:r>
    </w:p>
    <w:p>
      <w:pPr>
        <w:pStyle w:val="FirstParagraph"/>
      </w:pPr>
      <w:r>
        <w:rPr>
          <w:bCs/>
          <w:b/>
        </w:rPr>
        <w:t xml:space="preserve">Team NeuraForge · SIH26024 · AI-Based Smart Governance and Compliance Monitoring System for Coal Mines</w:t>
      </w:r>
      <w:r>
        <w:t xml:space="preserve"> </w:t>
      </w:r>
      <w:r>
        <w:rPr>
          <w:iCs/>
          <w:i/>
        </w:rPr>
        <w:t xml:space="preserve">Coal India Limited · Ministry of Coal · Software · Smart Automation</w:t>
      </w:r>
    </w:p>
    <w:p>
      <w:r>
        <w:pict>
          <v:rect style="width:0;height:1.5pt" o:hralign="center" o:hrstd="t" o:hr="t"/>
        </w:pict>
      </w:r>
    </w:p>
    <w:bookmarkStart w:id="20" w:name="before-you-read-anything-else"/>
    <w:p>
      <w:pPr>
        <w:pStyle w:val="Heading2"/>
      </w:pPr>
      <w:r>
        <w:t xml:space="preserve">Before you read anything else</w:t>
      </w:r>
    </w:p>
    <w:p>
      <w:pPr>
        <w:pStyle w:val="FirstParagraph"/>
      </w:pPr>
      <w:r>
        <w:t xml:space="preserve">Three sentences decide this pitch. Learn them cold.</w:t>
      </w:r>
    </w:p>
    <w:p>
      <w:pPr>
        <w:pStyle w:val="BlockText"/>
      </w:pPr>
      <w:r>
        <w:t xml:space="preserve">Coal India already knows what the law requires and already runs the sensors. What it does not have is a single system that connects the two, so compliance is proved on paper months after the fact instead of in the field as it happens. ANUPALAN parses the statute into a live ledger of duties, reads the instruments CIL already owns, and predicts which mine breaks which clause next — with a human officer signing every filing.</w:t>
      </w:r>
    </w:p>
    <w:p>
      <w:pPr>
        <w:pStyle w:val="FirstParagraph"/>
      </w:pPr>
      <w:r>
        <w:t xml:space="preserve">Everything below supports those three sentences. If you lose the room, come back to them.</w:t>
      </w:r>
    </w:p>
    <w:p>
      <w:r>
        <w:pict>
          <v:rect style="width:0;height:1.5pt" o:hralign="center" o:hrstd="t" o:hr="t"/>
        </w:pict>
      </w:r>
    </w:p>
    <w:bookmarkEnd w:id="20"/>
    <w:bookmarkStart w:id="27" w:name="the-5-minute-script"/>
    <w:p>
      <w:pPr>
        <w:pStyle w:val="Heading2"/>
      </w:pPr>
      <w:r>
        <w:t xml:space="preserve">The 5-minute script</w:t>
      </w:r>
    </w:p>
    <w:p>
      <w:pPr>
        <w:pStyle w:val="FirstParagraph"/>
      </w:pPr>
      <w:r>
        <w:t xml:space="preserve">Timings are for the idea round. Rehearse to 4:40 so you have twenty seconds of slack.</w:t>
      </w:r>
    </w:p>
    <w:bookmarkStart w:id="21" w:name="open-on-the-gap-not-the-technology"/>
    <w:p>
      <w:pPr>
        <w:pStyle w:val="Heading3"/>
      </w:pPr>
      <w:r>
        <w:t xml:space="preserve">0:00 – 0:40 · Open on the gap, not the technology</w:t>
      </w:r>
    </w:p>
    <w:p>
      <w:pPr>
        <w:pStyle w:val="FirstParagraph"/>
      </w:pPr>
      <w:r>
        <w:t xml:space="preserve">Do not open with</w:t>
      </w:r>
      <w:r>
        <w:t xml:space="preserve"> </w:t>
      </w:r>
      <w:r>
        <w:t xml:space="preserve">“</w:t>
      </w:r>
      <w:r>
        <w:t xml:space="preserve">we built an AI platform.</w:t>
      </w:r>
      <w:r>
        <w:t xml:space="preserve">”</w:t>
      </w:r>
      <w:r>
        <w:t xml:space="preserve"> </w:t>
      </w:r>
      <w:r>
        <w:t xml:space="preserve">Open with the government’s own findings.</w:t>
      </w:r>
    </w:p>
    <w:p>
      <w:pPr>
        <w:pStyle w:val="BlockText"/>
      </w:pPr>
      <w:r>
        <w:t xml:space="preserve">“In 2019 the Comptroller and Auditor General audited Coal India’s environmental compliance. It found sixteen units operating without valid statutory clearance — nine with no environment clearance at all. In February 2025, the national Standing Committee on Safety in Coal Mines met and recorded eighty fatal accidents since its previous sitting. In the same minutes it noted dust-suppression records that did not match field conditions.</w:t>
      </w:r>
    </w:p>
    <w:p>
      <w:pPr>
        <w:pStyle w:val="BlockText"/>
      </w:pPr>
      <w:r>
        <w:t xml:space="preserve">Nobody in this chain is lying. The problem is that compliance in Indian coal mining is proved on paper, months after the fact, by the same people being assessed. We are here to close that gap.”</w:t>
      </w:r>
    </w:p>
    <w:p>
      <w:pPr>
        <w:pStyle w:val="FirstParagraph"/>
      </w:pPr>
      <w:r>
        <w:t xml:space="preserve">Pause. Let it land. Then name yourself and the problem statement.</w:t>
      </w:r>
    </w:p>
    <w:bookmarkEnd w:id="21"/>
    <w:bookmarkStart w:id="22" w:name="what-anupalan-is"/>
    <w:p>
      <w:pPr>
        <w:pStyle w:val="Heading3"/>
      </w:pPr>
      <w:r>
        <w:t xml:space="preserve">0:40 – 1:40 · What ANUPALAN is</w:t>
      </w:r>
    </w:p>
    <w:p>
      <w:pPr>
        <w:pStyle w:val="FirstParagraph"/>
      </w:pPr>
      <w:r>
        <w:t xml:space="preserve">Point at the flow diagram, not the text.</w:t>
      </w:r>
    </w:p>
    <w:p>
      <w:pPr>
        <w:pStyle w:val="BlockText"/>
      </w:pPr>
      <w:r>
        <w:t xml:space="preserve">“ANUPALAN turns the statute itself into running code. Five steps.</w:t>
      </w:r>
    </w:p>
    <w:p>
      <w:pPr>
        <w:pStyle w:val="BlockText"/>
      </w:pPr>
      <w:r>
        <w:t xml:space="preserve">One, we ingest the law — the Mines Act, the Coal Mines Regulations 2017, DGMS circulars, environmental clearance and consent conditions.</w:t>
      </w:r>
    </w:p>
    <w:p>
      <w:pPr>
        <w:pStyle w:val="BlockText"/>
      </w:pPr>
      <w:r>
        <w:t xml:space="preserve">Two, every clause becomes a tracked duty with an owner, a deadline and a required piece of evidence. That is the obligation ledger.</w:t>
      </w:r>
    </w:p>
    <w:p>
      <w:pPr>
        <w:pStyle w:val="BlockText"/>
      </w:pPr>
      <w:r>
        <w:t xml:space="preserve">Three, field officers capture that evidence on a phone that works with no network, because underground there isn’t one. Geo-tagged, timestamped, hash-chained.</w:t>
      </w:r>
    </w:p>
    <w:p>
      <w:pPr>
        <w:pStyle w:val="BlockText"/>
      </w:pPr>
      <w:r>
        <w:t xml:space="preserve">Four — and this is the part that matters — we score risk before the breach. Not after.</w:t>
      </w:r>
    </w:p>
    <w:p>
      <w:pPr>
        <w:pStyle w:val="BlockText"/>
      </w:pPr>
      <w:r>
        <w:t xml:space="preserve">Five, we alert, escalate, and draft the statutory return. A qualified officer signs it. The AI never files on its own.”</w:t>
      </w:r>
    </w:p>
    <w:bookmarkEnd w:id="22"/>
    <w:bookmarkStart w:id="23" w:name="Xcc997815a220f188c69928fcbe3cf17d69e7247"/>
    <w:p>
      <w:pPr>
        <w:pStyle w:val="Heading3"/>
      </w:pPr>
      <w:r>
        <w:t xml:space="preserve">1:40 – 2:50 · How, and the one thing that makes it buildable</w:t>
      </w:r>
    </w:p>
    <w:p>
      <w:pPr>
        <w:pStyle w:val="FirstParagraph"/>
      </w:pPr>
      <w:r>
        <w:t xml:space="preserve">Move to the architecture diagram. Do not read the boxes aloud. Trace the flow with your hand.</w:t>
      </w:r>
    </w:p>
    <w:p>
      <w:pPr>
        <w:pStyle w:val="BlockText"/>
      </w:pPr>
      <w:r>
        <w:t xml:space="preserve">“The differentiator is the AI core. Five engines. Regulation-as-Code maps clause to duty. The risk engine scores failure probability per mine. Hazard early-warning watches inundation, strata movement, gas, seismic and equipment health. Geo-compliance catches excavation outside the sanctioned lease boundary. Vision triage filters false field reports.</w:t>
      </w:r>
    </w:p>
    <w:p>
      <w:pPr>
        <w:pStyle w:val="BlockText"/>
      </w:pPr>
      <w:r>
        <w:t xml:space="preserve">Here is the thing that makes this real rather than a slide.</w:t>
      </w:r>
      <w:r>
        <w:t xml:space="preserve"> </w:t>
      </w:r>
      <w:r>
        <w:rPr>
          <w:bCs/>
          <w:b/>
        </w:rPr>
        <w:t xml:space="preserve">We are not asking Coal India to buy a single sensor.</w:t>
      </w:r>
      <w:r>
        <w:t xml:space="preserve"> </w:t>
      </w:r>
      <w:r>
        <w:t xml:space="preserve">The Ministry’s own annual report lists what is already deployed — the Environmental Tele-Monitoring System, local methane detectors, strata monitoring instruments, geo-fenced vehicle tracking. That data exists. It sits in silos. We read it.”</w:t>
      </w:r>
    </w:p>
    <w:p>
      <w:pPr>
        <w:pStyle w:val="FirstParagraph"/>
      </w:pPr>
      <w:r>
        <w:t xml:space="preserve">That last paragraph is your strongest thirty seconds. Do not rush it.</w:t>
      </w:r>
    </w:p>
    <w:bookmarkEnd w:id="23"/>
    <w:bookmarkStart w:id="24" w:name="feasibility-stated-plainly"/>
    <w:p>
      <w:pPr>
        <w:pStyle w:val="Heading3"/>
      </w:pPr>
      <w:r>
        <w:t xml:space="preserve">2:50 – 3:40 · Feasibility, stated plainly</w:t>
      </w:r>
    </w:p>
    <w:p>
      <w:pPr>
        <w:pStyle w:val="BlockText"/>
      </w:pPr>
      <w:r>
        <w:t xml:space="preserve">“Entire stack is open source. It runs on NIC MeghRaj or Coal India’s existing data centre. The statutory corpus is public — DGMS, MoEFCC and PARIVESH publish all of it.</w:t>
      </w:r>
    </w:p>
    <w:p>
      <w:pPr>
        <w:pStyle w:val="BlockText"/>
      </w:pPr>
      <w:r>
        <w:t xml:space="preserve">Nothing here is research-grade. Retrieval-augmented generation, gradient boosting and YOLOv8 are production-standard. In thirty-six hours we ship a working prototype on a seeded corpus of the top fifty statutory duties and one demo mine.</w:t>
      </w:r>
    </w:p>
    <w:p>
      <w:pPr>
        <w:pStyle w:val="BlockText"/>
      </w:pPr>
      <w:r>
        <w:t xml:space="preserve">The biggest risk is the obvious one: an AI misreading the law is a serious liability. So the AI drafts and cites the clause, and a certificated officer signs. It never auto-files a return. Rules first, model later — deterministic checks ship on day one, the model augments as data accumulates.”</w:t>
      </w:r>
    </w:p>
    <w:bookmarkEnd w:id="24"/>
    <w:bookmarkStart w:id="25" w:name="impact-with-numbers"/>
    <w:p>
      <w:pPr>
        <w:pStyle w:val="Heading3"/>
      </w:pPr>
      <w:r>
        <w:t xml:space="preserve">3:40 – 4:30 · Impact, with numbers</w:t>
      </w:r>
    </w:p>
    <w:p>
      <w:pPr>
        <w:pStyle w:val="BlockText"/>
      </w:pPr>
      <w:r>
        <w:t xml:space="preserve">“313 working mines. Eight producing subsidiaries. A workforce of 3.3 lakh, of which 1.15 lakh are contract workers — the same people the Standing Committee noted are left out of safety committees.</w:t>
      </w:r>
    </w:p>
    <w:p>
      <w:pPr>
        <w:pStyle w:val="BlockText"/>
      </w:pPr>
      <w:r>
        <w:t xml:space="preserve">For a mine manager, every duty and deadline in one place. For DGMS, verified clause-linked evidence instead of self-declared PDFs, so scarce inspector time goes to the highest-risk mines first. For a worker, a strata or gas risk acted on before the accident, not investigated after it.</w:t>
      </w:r>
    </w:p>
    <w:p>
      <w:pPr>
        <w:pStyle w:val="BlockText"/>
      </w:pPr>
      <w:r>
        <w:t xml:space="preserve">For a one-subsidiary pilot we are targeting: inspection to filed report from weeks to under twenty-four hours. Statutory returns auto-drafted, zero to eighty per cent. Every mine carrying a live risk score.”</w:t>
      </w:r>
    </w:p>
    <w:bookmarkEnd w:id="25"/>
    <w:bookmarkStart w:id="26" w:name="close-on-the-thing-nobody-else-will-say"/>
    <w:p>
      <w:pPr>
        <w:pStyle w:val="Heading3"/>
      </w:pPr>
      <w:r>
        <w:t xml:space="preserve">4:30 – 5:00 · Close on the thing nobody else will say</w:t>
      </w:r>
    </w:p>
    <w:p>
      <w:pPr>
        <w:pStyle w:val="BlockText"/>
      </w:pPr>
      <w:r>
        <w:t xml:space="preserve">“One last point. The Mines Act of 1952 is repealed the day the Occupational Safety, Health and Working Conditions Code is notified. Every compliance system with rules hard-coded into it breaks that morning.</w:t>
      </w:r>
    </w:p>
    <w:p>
      <w:pPr>
        <w:pStyle w:val="BlockText"/>
      </w:pPr>
      <w:r>
        <w:t xml:space="preserve">ANUPALAN doesn’t. It parses the corpus. Give it the new Code and it re-derives every duty overnight. That is why we built a rulebook that reads the law rather than a checklist someone has to maintain by hand.</w:t>
      </w:r>
    </w:p>
    <w:p>
      <w:pPr>
        <w:pStyle w:val="BlockText"/>
      </w:pPr>
      <w:r>
        <w:t xml:space="preserve">Thank you.”</w:t>
      </w:r>
    </w:p>
    <w:p>
      <w:r>
        <w:pict>
          <v:rect style="width:0;height:1.5pt" o:hralign="center" o:hrstd="t" o:hr="t"/>
        </w:pict>
      </w:r>
    </w:p>
    <w:bookmarkEnd w:id="26"/>
    <w:bookmarkEnd w:id="27"/>
    <w:bookmarkStart w:id="28" w:name="judge-qa"/>
    <w:p>
      <w:pPr>
        <w:pStyle w:val="Heading2"/>
      </w:pPr>
      <w:r>
        <w:t xml:space="preserve">Judge Q&amp;A</w:t>
      </w:r>
    </w:p>
    <w:p>
      <w:pPr>
        <w:pStyle w:val="FirstParagraph"/>
      </w:pPr>
      <w:r>
        <w:t xml:space="preserve">Answer in one breath, then stop. The commonest failure is over-explaining a good answer until it sounds uncertain.</w:t>
      </w:r>
    </w:p>
    <w:p>
      <w:pPr>
        <w:pStyle w:val="BodyText"/>
      </w:pPr>
      <w:r>
        <w:rPr>
          <w:bCs/>
          <w:b/>
        </w:rPr>
        <w:t xml:space="preserve">“</w:t>
      </w:r>
      <w:r>
        <w:rPr>
          <w:bCs/>
          <w:b/>
        </w:rPr>
        <w:t xml:space="preserve">Coal India already has CSIS and the National Coal Mines Safety Report Portal. Why another system?</w:t>
      </w:r>
      <w:r>
        <w:rPr>
          <w:bCs/>
          <w:b/>
        </w:rPr>
        <w:t xml:space="preserve">”</w:t>
      </w:r>
      <w:r>
        <w:t xml:space="preserve"> </w:t>
      </w:r>
      <w:r>
        <w:t xml:space="preserve">Those record what happened. CSIS is an accident and compliance database; the Safety Report Portal has an accident module and an audit module. Both are backward-looking and both are inputs to us, not competitors — the architecture reads from them. What does not exist anywhere is a forward-looking obligation ledger derived from the statute itself. We integrate rather than replace, which is also why adoption doesn’t require anyone to abandon a system they already trust.</w:t>
      </w:r>
    </w:p>
    <w:p>
      <w:pPr>
        <w:pStyle w:val="BodyText"/>
      </w:pPr>
      <w:r>
        <w:rPr>
          <w:bCs/>
          <w:b/>
        </w:rPr>
        <w:t xml:space="preserve">“</w:t>
      </w:r>
      <w:r>
        <w:rPr>
          <w:bCs/>
          <w:b/>
        </w:rPr>
        <w:t xml:space="preserve">How is Regulation-as-Code different from a checklist database?</w:t>
      </w:r>
      <w:r>
        <w:rPr>
          <w:bCs/>
          <w:b/>
        </w:rPr>
        <w:t xml:space="preserve">”</w:t>
      </w:r>
      <w:r>
        <w:t xml:space="preserve"> </w:t>
      </w:r>
      <w:r>
        <w:t xml:space="preserve">A checklist is written by a person and goes stale the moment a circular is issued. Ours is derived. We embed the statutory corpus, and every duty in the ledger carries a pointer back to the clause it came from. Issue a new DGMS circular and the affected duties recompute on the next scheduled index. Nobody maintains a spreadsheet.</w:t>
      </w:r>
    </w:p>
    <w:p>
      <w:pPr>
        <w:pStyle w:val="BodyText"/>
      </w:pPr>
      <w:r>
        <w:rPr>
          <w:bCs/>
          <w:b/>
        </w:rPr>
        <w:t xml:space="preserve">“</w:t>
      </w:r>
      <w:r>
        <w:rPr>
          <w:bCs/>
          <w:b/>
        </w:rPr>
        <w:t xml:space="preserve">What happens when your AI misreads a provision? Who is liable?</w:t>
      </w:r>
      <w:r>
        <w:rPr>
          <w:bCs/>
          <w:b/>
        </w:rPr>
        <w:t xml:space="preserve">”</w:t>
      </w:r>
      <w:r>
        <w:t xml:space="preserve"> </w:t>
      </w:r>
      <w:r>
        <w:t xml:space="preserve">The AI never carries liability, because it never files. It drafts, and it must cite the clause it relied on — an answer with no citation is rejected by the system, not shown to a user. A certificated officer reviews and signs. That is the same accountability chain the Mines Act already sets out for the owner, agent and manager. We are not changing who is responsible; we are giving them better evidence.</w:t>
      </w:r>
    </w:p>
    <w:p>
      <w:pPr>
        <w:pStyle w:val="BodyText"/>
      </w:pPr>
      <w:r>
        <w:rPr>
          <w:bCs/>
          <w:b/>
        </w:rPr>
        <w:t xml:space="preserve">“</w:t>
      </w:r>
      <w:r>
        <w:rPr>
          <w:bCs/>
          <w:b/>
        </w:rPr>
        <w:t xml:space="preserve">There is no network underground. How does your app work?</w:t>
      </w:r>
      <w:r>
        <w:rPr>
          <w:bCs/>
          <w:b/>
        </w:rPr>
        <w:t xml:space="preserve">”</w:t>
      </w:r>
      <w:r>
        <w:t xml:space="preserve"> </w:t>
      </w:r>
      <w:r>
        <w:t xml:space="preserve">It is offline-first by design, not offline-tolerant. Capture writes to a local store on the device, the queue holds it, and it uploads with conflict resolution when the phone reaches signal at the surface. Nothing about the workflow assumes connectivity. This is exactly why we did not build a web form.</w:t>
      </w:r>
    </w:p>
    <w:p>
      <w:pPr>
        <w:pStyle w:val="BodyText"/>
      </w:pPr>
      <w:r>
        <w:rPr>
          <w:bCs/>
          <w:b/>
        </w:rPr>
        <w:t xml:space="preserve">“</w:t>
      </w:r>
      <w:r>
        <w:rPr>
          <w:bCs/>
          <w:b/>
        </w:rPr>
        <w:t xml:space="preserve">Where does the training data for the risk model come from?</w:t>
      </w:r>
      <w:r>
        <w:rPr>
          <w:bCs/>
          <w:b/>
        </w:rPr>
        <w:t xml:space="preserve">”</w:t>
      </w:r>
      <w:r>
        <w:t xml:space="preserve"> </w:t>
      </w:r>
      <w:r>
        <w:t xml:space="preserve">Historic inspection findings, violation records and accident data already held by CIL and DGMS, plus the mine’s own sensor history. We are honest that early scores will be thin — labelled violation data is limited. That is why the system ships deterministic rule checks first and lets the model earn its place as data accumulates. A rule that says</w:t>
      </w:r>
      <w:r>
        <w:t xml:space="preserve"> </w:t>
      </w:r>
      <w:r>
        <w:t xml:space="preserve">“</w:t>
      </w:r>
      <w:r>
        <w:t xml:space="preserve">this return is nine days overdue</w:t>
      </w:r>
      <w:r>
        <w:t xml:space="preserve">”</w:t>
      </w:r>
      <w:r>
        <w:t xml:space="preserve"> </w:t>
      </w:r>
      <w:r>
        <w:t xml:space="preserve">needs no training at all.</w:t>
      </w:r>
    </w:p>
    <w:p>
      <w:pPr>
        <w:pStyle w:val="BodyText"/>
      </w:pPr>
      <w:r>
        <w:rPr>
          <w:bCs/>
          <w:b/>
        </w:rPr>
        <w:t xml:space="preserve">“</w:t>
      </w:r>
      <w:r>
        <w:rPr>
          <w:bCs/>
          <w:b/>
        </w:rPr>
        <w:t xml:space="preserve">Your sensors are from different vendors and different decades. How do you integrate?</w:t>
      </w:r>
      <w:r>
        <w:rPr>
          <w:bCs/>
          <w:b/>
        </w:rPr>
        <w:t xml:space="preserve">”</w:t>
      </w:r>
      <w:r>
        <w:t xml:space="preserve"> </w:t>
      </w:r>
      <w:r>
        <w:t xml:space="preserve">Adapter pattern. One driver per instrument type, with manual entry as a guaranteed fallback so no mine is blocked from onboarding because its methane detector is analogue. We would rather cover 313 mines at varying fidelity than 20 mines perfectly.</w:t>
      </w:r>
    </w:p>
    <w:p>
      <w:pPr>
        <w:pStyle w:val="BodyText"/>
      </w:pPr>
      <w:r>
        <w:rPr>
          <w:bCs/>
          <w:b/>
        </w:rPr>
        <w:t xml:space="preserve">“</w:t>
      </w:r>
      <w:r>
        <w:rPr>
          <w:bCs/>
          <w:b/>
        </w:rPr>
        <w:t xml:space="preserve">Who owns the data across eight subsidiaries?</w:t>
      </w:r>
      <w:r>
        <w:rPr>
          <w:bCs/>
          <w:b/>
        </w:rPr>
        <w:t xml:space="preserve">”</w:t>
      </w:r>
      <w:r>
        <w:t xml:space="preserve"> </w:t>
      </w:r>
      <w:r>
        <w:t xml:space="preserve">Each subsidiary does. Deployment is on-premise or on NIC cloud, with role-based access and subsidiary-level data partitioning, encrypted at rest. Corporate sees posture and rollups; it does not get a free window into another subsidiary’s raw records unless the role allows it.</w:t>
      </w:r>
    </w:p>
    <w:p>
      <w:pPr>
        <w:pStyle w:val="BodyText"/>
      </w:pPr>
      <w:r>
        <w:rPr>
          <w:bCs/>
          <w:b/>
        </w:rPr>
        <w:t xml:space="preserve">“</w:t>
      </w:r>
      <w:r>
        <w:rPr>
          <w:bCs/>
          <w:b/>
        </w:rPr>
        <w:t xml:space="preserve">How is this different from the Star Rating scheme?</w:t>
      </w:r>
      <w:r>
        <w:rPr>
          <w:bCs/>
          <w:b/>
        </w:rPr>
        <w:t xml:space="preserve">”</w:t>
      </w:r>
      <w:r>
        <w:t xml:space="preserve"> </w:t>
      </w:r>
      <w:r>
        <w:t xml:space="preserve">Star Rating is annual and largely self-certified. ANUPALAN is continuous and evidence-backed. The difference is not the scoring, it is that every claim here is attached to a geo-tagged, timestamped, hash-chained artefact that a DGMS officer can open. You cannot self-certify a photograph that carries the wrong coordinates and a broken hash.</w:t>
      </w:r>
    </w:p>
    <w:p>
      <w:pPr>
        <w:pStyle w:val="BodyText"/>
      </w:pPr>
      <w:r>
        <w:rPr>
          <w:bCs/>
          <w:b/>
        </w:rPr>
        <w:t xml:space="preserve">“</w:t>
      </w:r>
      <w:r>
        <w:rPr>
          <w:bCs/>
          <w:b/>
        </w:rPr>
        <w:t xml:space="preserve">What stops a manager gaming it — entering false compliance?</w:t>
      </w:r>
      <w:r>
        <w:rPr>
          <w:bCs/>
          <w:b/>
        </w:rPr>
        <w:t xml:space="preserve">”</w:t>
      </w:r>
      <w:r>
        <w:t xml:space="preserve"> </w:t>
      </w:r>
      <w:r>
        <w:t xml:space="preserve">Three things. Evidence is hash-chained, so a record cannot be back-dated without breaking the chain. Photographs are geo-fenced against the mine’s own lease polygon. And vision triage pre-screens submissions before an officer sees them. None of that makes fraud impossible; it makes it detectable and attributable, which is what an enquiry needs.</w:t>
      </w:r>
    </w:p>
    <w:p>
      <w:pPr>
        <w:pStyle w:val="BodyText"/>
      </w:pPr>
      <w:r>
        <w:rPr>
          <w:bCs/>
          <w:b/>
        </w:rPr>
        <w:t xml:space="preserve">“</w:t>
      </w:r>
      <w:r>
        <w:rPr>
          <w:bCs/>
          <w:b/>
        </w:rPr>
        <w:t xml:space="preserve">What is the deployment cost?</w:t>
      </w:r>
      <w:r>
        <w:rPr>
          <w:bCs/>
          <w:b/>
        </w:rPr>
        <w:t xml:space="preserve">”</w:t>
      </w:r>
      <w:r>
        <w:t xml:space="preserve"> </w:t>
      </w:r>
      <w:r>
        <w:t xml:space="preserve">No licence cost — the stack is entirely open source. No new hardware, because we read instruments CIL already runs. The real cost is integration effort and change management, which is why we propose a single-subsidiary pilot before any wider rollout.</w:t>
      </w:r>
    </w:p>
    <w:p>
      <w:pPr>
        <w:pStyle w:val="BodyText"/>
      </w:pPr>
      <w:r>
        <w:rPr>
          <w:bCs/>
          <w:b/>
        </w:rPr>
        <w:t xml:space="preserve">“</w:t>
      </w:r>
      <w:r>
        <w:rPr>
          <w:bCs/>
          <w:b/>
        </w:rPr>
        <w:t xml:space="preserve">Does this cover non-CIL mines — commercial and captive blocks?</w:t>
      </w:r>
      <w:r>
        <w:rPr>
          <w:bCs/>
          <w:b/>
        </w:rPr>
        <w:t xml:space="preserve">”</w:t>
      </w:r>
      <w:r>
        <w:t xml:space="preserve"> </w:t>
      </w:r>
      <w:r>
        <w:t xml:space="preserve">The engine is mineral-agnostic because the statute is. DGMS regulates roughly 19,000 registered mines across coal, metalliferous and oil. The obligation ledger only needs a different corpus loaded — Metalliferous Mines Regulations instead of the Coal Mines Regulations. That is a configuration change, not a rebuild.</w:t>
      </w:r>
    </w:p>
    <w:p>
      <w:pPr>
        <w:pStyle w:val="BodyText"/>
      </w:pPr>
      <w:r>
        <w:rPr>
          <w:bCs/>
          <w:b/>
        </w:rPr>
        <w:t xml:space="preserve">“</w:t>
      </w:r>
      <w:r>
        <w:rPr>
          <w:bCs/>
          <w:b/>
        </w:rPr>
        <w:t xml:space="preserve">Prove you can build this in 36 hours.</w:t>
      </w:r>
      <w:r>
        <w:rPr>
          <w:bCs/>
          <w:b/>
        </w:rPr>
        <w:t xml:space="preserve">”</w:t>
      </w:r>
      <w:r>
        <w:t xml:space="preserve"> </w:t>
      </w:r>
      <w:r>
        <w:t xml:space="preserve">Hour zero to six, schema, auth and the seeded corpus of fifty duties. Six to eighteen, obligation ledger, dashboards and the offline mobile capture. Eighteen to thirty, the AI core wired to live data. Thirty to thirty-six, auto-drafted returns, audit trail and three scripted demo scenarios. Six people, four parallel tracks, an integration checkpoint every six hours so nothing merges at hour thirty-five for the first time.</w:t>
      </w:r>
    </w:p>
    <w:p>
      <w:pPr>
        <w:pStyle w:val="BodyText"/>
      </w:pPr>
      <w:r>
        <w:rPr>
          <w:bCs/>
          <w:b/>
        </w:rPr>
        <w:t xml:space="preserve">“</w:t>
      </w:r>
      <w:r>
        <w:rPr>
          <w:bCs/>
          <w:b/>
        </w:rPr>
        <w:t xml:space="preserve">What if the risk score is simply wrong?</w:t>
      </w:r>
      <w:r>
        <w:rPr>
          <w:bCs/>
          <w:b/>
        </w:rPr>
        <w:t xml:space="preserve">”</w:t>
      </w:r>
      <w:r>
        <w:t xml:space="preserve"> </w:t>
      </w:r>
      <w:r>
        <w:t xml:space="preserve">Then an officer visits a mine that turned out to be fine, which is the cost of a false positive and is survivable. The system is designed so a wrong score never blocks production and never files a false return — it only changes the order of a queue. We would rather mis-rank an inspection than mis-file a statutory document.</w:t>
      </w:r>
    </w:p>
    <w:p>
      <w:r>
        <w:pict>
          <v:rect style="width:0;height:1.5pt" o:hralign="center" o:hrstd="t" o:hr="t"/>
        </w:pict>
      </w:r>
    </w:p>
    <w:bookmarkEnd w:id="28"/>
    <w:bookmarkStart w:id="29" w:name="Xf30e8eac692a8fd69ea03fa4655a49c1c159b29"/>
    <w:p>
      <w:pPr>
        <w:pStyle w:val="Heading2"/>
      </w:pPr>
      <w:r>
        <w:t xml:space="preserve">Things to have ready but not say unprompted</w:t>
      </w:r>
    </w:p>
    <w:p>
      <w:pPr>
        <w:numPr>
          <w:ilvl w:val="0"/>
          <w:numId w:val="1001"/>
        </w:numPr>
        <w:pStyle w:val="Compact"/>
      </w:pPr>
      <w:r>
        <w:t xml:space="preserve">The Khanan Prahari verification numbers. Of 462 reports, 251 verified false and 77 genuine; a later release records only 78 of 483 complaints acted upon. Use this only if a judge challenges why vision triage matters.</w:t>
      </w:r>
    </w:p>
    <w:p>
      <w:pPr>
        <w:numPr>
          <w:ilvl w:val="0"/>
          <w:numId w:val="1001"/>
        </w:numPr>
        <w:pStyle w:val="Compact"/>
      </w:pPr>
      <w:r>
        <w:t xml:space="preserve">The Lalmatia collapse of December 2016. DGMS inspected in August, ran a risk-assessment workshop in September, and no written stop-work order was issued before the December collapse. Powerful, but it names a real failure at a real subsidiary — deploy it only if a judge argues that existing inspection already works, and state it without blame.</w:t>
      </w:r>
    </w:p>
    <w:p>
      <w:pPr>
        <w:numPr>
          <w:ilvl w:val="0"/>
          <w:numId w:val="1001"/>
        </w:numPr>
        <w:pStyle w:val="Compact"/>
      </w:pPr>
      <w:r>
        <w:t xml:space="preserve">Draft Coal Mines Regulations under the OSH Code were reported as published for comment in January 2026.</w:t>
      </w:r>
      <w:r>
        <w:t xml:space="preserve"> </w:t>
      </w:r>
      <w:r>
        <w:rPr>
          <w:bCs/>
          <w:b/>
        </w:rPr>
        <w:t xml:space="preserve">Verify this against the gazette before quoting it to a judge</w:t>
      </w:r>
      <w:r>
        <w:t xml:space="preserve"> </w:t>
      </w:r>
      <w:r>
        <w:t xml:space="preserve">— we could not confirm it from a primary source.</w:t>
      </w:r>
    </w:p>
    <w:bookmarkEnd w:id="29"/>
    <w:bookmarkStart w:id="30" w:name="delivery-notes"/>
    <w:p>
      <w:pPr>
        <w:pStyle w:val="Heading2"/>
      </w:pPr>
      <w:r>
        <w:t xml:space="preserve">Delivery notes</w:t>
      </w:r>
    </w:p>
    <w:p>
      <w:pPr>
        <w:pStyle w:val="FirstParagraph"/>
      </w:pPr>
      <w:r>
        <w:t xml:space="preserve">One person owns the pitch. Others answer only in their own domain when asked directly — a chorus reads as an unprepared team. Nominate now who takes AI questions, who takes architecture, who takes the domain and regulation questions.</w:t>
      </w:r>
    </w:p>
    <w:p>
      <w:pPr>
        <w:pStyle w:val="BodyText"/>
      </w:pPr>
      <w:r>
        <w:t xml:space="preserve">When you do not know something, say</w:t>
      </w:r>
      <w:r>
        <w:t xml:space="preserve"> </w:t>
      </w:r>
      <w:r>
        <w:t xml:space="preserve">“</w:t>
      </w:r>
      <w:r>
        <w:t xml:space="preserve">we haven’t validated that yet, here is how we would</w:t>
      </w:r>
      <w:r>
        <w:t xml:space="preserve">”</w:t>
      </w:r>
      <w:r>
        <w:t xml:space="preserve"> </w:t>
      </w:r>
      <w:r>
        <w:t xml:space="preserve">and move on. Judges have watched forty teams bluff before lunch. The team that says</w:t>
      </w:r>
      <w:r>
        <w:t xml:space="preserve"> </w:t>
      </w:r>
      <w:r>
        <w:t xml:space="preserve">“</w:t>
      </w:r>
      <w:r>
        <w:t xml:space="preserve">we don’t know</w:t>
      </w:r>
      <w:r>
        <w:t xml:space="preserve">”</w:t>
      </w:r>
      <w:r>
        <w:t xml:space="preserve"> </w:t>
      </w:r>
      <w:r>
        <w:t xml:space="preserve">once is the team they believe on everything else.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2026-08-27T18:06:11Z</dcterms:created>
  <dcterms:modified xsi:type="dcterms:W3CDTF">2026-08-27T18:06:11Z</dcterms:modified>
</cp:coreProperties>
</file>

<file path=docProps/custom.xml><?xml version="1.0" encoding="utf-8"?>
<Properties xmlns="http://schemas.openxmlformats.org/officeDocument/2006/custom-properties" xmlns:vt="http://schemas.openxmlformats.org/officeDocument/2006/docPropsVTypes"/>
</file>