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0284C7"/>
          <w:sz w:val="20"/>
        </w:rPr>
        <w:t>B.TECH ACADEMIC CAPSTONE PROJECT REPORT  ·  COURSE: GAME THEORY</w:t>
      </w:r>
    </w:p>
    <w:p>
      <w:pPr>
        <w:spacing w:before="240" w:after="160"/>
        <w:jc w:val="center"/>
      </w:pPr>
      <w:r>
        <w:rPr>
          <w:rFonts w:ascii="Calibri" w:hAnsi="Calibri"/>
          <w:b/>
          <w:color w:val="0F172A"/>
          <w:sz w:val="44"/>
        </w:rPr>
        <w:t>Game-Theoretic Analysis of Fake News Propagation</w:t>
        <w:br/>
        <w:t>and Platform Moderation Strategies</w:t>
      </w:r>
    </w:p>
    <w:p>
      <w:pPr>
        <w:spacing w:before="0" w:after="360"/>
        <w:jc w:val="center"/>
      </w:pPr>
      <w:r>
        <w:rPr>
          <w:rFonts w:ascii="Calibri" w:hAnsi="Calibri"/>
          <w:color w:val="64748B"/>
          <w:sz w:val="23"/>
        </w:rPr>
        <w:t>Strategic Deterrence Modeling, Normal-Form Payoff Analysis, and Discrete Contagion Simulation</w:t>
      </w:r>
    </w:p>
    <w:tbl>
      <w:tblPr>
        <w:tblW w:type="auto" w:w="0"/>
        <w:jc w:val="center"/>
        <w:tblLayout w:type="fixed"/>
        <w:tblLook w:firstColumn="1" w:firstRow="1" w:lastColumn="0" w:lastRow="0" w:noHBand="0" w:noVBand="1" w:val="04A0"/>
      </w:tblPr>
      <w:tblGrid>
        <w:gridCol w:w="4514"/>
        <w:gridCol w:w="4514"/>
      </w:tblGrid>
      <w:tr>
        <w:tc>
          <w:tcPr>
            <w:tcW w:type="dxa" w:w="9029"/>
            <w:gridSpan w:val="2"/>
            <w:shd w:fill="0F172A"/>
            <w:tcMar>
              <w:top w:w="100" w:type="dxa"/>
              <w:bottom w:w="100" w:type="dxa"/>
              <w:left w:w="140" w:type="dxa"/>
              <w:right w:w="140" w:type="dxa"/>
            </w:tcMar>
          </w:tcPr>
          <w:p>
            <w:pPr>
              <w:jc w:val="center"/>
            </w:pPr>
            <w:r>
              <w:rPr>
                <w:rFonts w:ascii="Calibri" w:hAnsi="Calibri"/>
                <w:b/>
                <w:color w:val="FFFFFF"/>
                <w:sz w:val="20"/>
              </w:rPr>
              <w:t>PROJECT INVESTIGATORS &amp; RESEARCH AUTHORS</w:t>
            </w:r>
          </w:p>
        </w:tc>
      </w:tr>
      <w:tr>
        <w:tc>
          <w:tcPr>
            <w:tcW w:type="dxa" w:w="4507"/>
            <w:shd w:fill="F8FAFC"/>
            <w:tcMar>
              <w:top w:w="80" w:type="dxa"/>
              <w:bottom w:w="80" w:type="dxa"/>
              <w:left w:w="140" w:type="dxa"/>
              <w:right w:w="140" w:type="dxa"/>
            </w:tcMar>
          </w:tcPr>
          <w:p>
            <w:r>
              <w:rPr>
                <w:rFonts w:ascii="Calibri" w:hAnsi="Calibri"/>
                <w:b/>
                <w:color w:val="0F172A"/>
                <w:sz w:val="21"/>
              </w:rPr>
              <w:t>Shreshth Juneja</w:t>
            </w:r>
          </w:p>
        </w:tc>
        <w:tc>
          <w:tcPr>
            <w:tcW w:type="dxa" w:w="4522"/>
            <w:shd w:fill="F8FAFC"/>
            <w:tcMar>
              <w:top w:w="80" w:type="dxa"/>
              <w:bottom w:w="80" w:type="dxa"/>
              <w:left w:w="140" w:type="dxa"/>
              <w:right w:w="140" w:type="dxa"/>
            </w:tcMar>
          </w:tcPr>
          <w:p>
            <w:r>
              <w:rPr>
                <w:rFonts w:ascii="Calibri" w:hAnsi="Calibri"/>
                <w:color w:val="334155"/>
                <w:sz w:val="20"/>
              </w:rPr>
              <w:t>Registration Number: 2427030246</w:t>
            </w:r>
          </w:p>
        </w:tc>
      </w:tr>
      <w:tr>
        <w:tc>
          <w:tcPr>
            <w:tcW w:type="dxa" w:w="4507"/>
            <w:shd w:fill="FFFFFF"/>
            <w:tcMar>
              <w:top w:w="80" w:type="dxa"/>
              <w:bottom w:w="80" w:type="dxa"/>
              <w:left w:w="140" w:type="dxa"/>
              <w:right w:w="140" w:type="dxa"/>
            </w:tcMar>
          </w:tcPr>
          <w:p>
            <w:r>
              <w:rPr>
                <w:rFonts w:ascii="Calibri" w:hAnsi="Calibri"/>
                <w:b/>
                <w:color w:val="0F172A"/>
                <w:sz w:val="21"/>
              </w:rPr>
              <w:t>Devaanshee Agarwal</w:t>
            </w:r>
          </w:p>
        </w:tc>
        <w:tc>
          <w:tcPr>
            <w:tcW w:type="dxa" w:w="4522"/>
            <w:shd w:fill="FFFFFF"/>
            <w:tcMar>
              <w:top w:w="80" w:type="dxa"/>
              <w:bottom w:w="80" w:type="dxa"/>
              <w:left w:w="140" w:type="dxa"/>
              <w:right w:w="140" w:type="dxa"/>
            </w:tcMar>
          </w:tcPr>
          <w:p>
            <w:r>
              <w:rPr>
                <w:rFonts w:ascii="Calibri" w:hAnsi="Calibri"/>
                <w:color w:val="334155"/>
                <w:sz w:val="20"/>
              </w:rPr>
              <w:t>Registration Number: 2427030504</w:t>
            </w:r>
          </w:p>
        </w:tc>
      </w:tr>
      <w:tr>
        <w:tc>
          <w:tcPr>
            <w:tcW w:type="dxa" w:w="9029"/>
            <w:gridSpan w:val="2"/>
            <w:shd w:fill="F1F5F9"/>
            <w:tcMar>
              <w:top w:w="80" w:type="dxa"/>
              <w:bottom w:w="80" w:type="dxa"/>
              <w:left w:w="140" w:type="dxa"/>
              <w:right w:w="140" w:type="dxa"/>
            </w:tcMar>
          </w:tcPr>
          <w:p>
            <w:pPr>
              <w:jc w:val="center"/>
            </w:pPr>
            <w:r>
              <w:rPr>
                <w:rFonts w:ascii="Calibri" w:hAnsi="Calibri"/>
                <w:color w:val="64748B"/>
                <w:sz w:val="18"/>
              </w:rPr>
              <w:t>Department of Computer Science &amp; Engineering  |  Interactive Web Architecture</w:t>
            </w:r>
          </w:p>
        </w:tc>
      </w:tr>
      <w:tr>
        <w:tc>
          <w:tcPr>
            <w:tcW w:type="dxa" w:w="9029"/>
            <w:gridSpan w:val="2"/>
            <w:shd w:fill="FFFFFF"/>
            <w:tcMar>
              <w:top w:w="60" w:type="dxa"/>
              <w:bottom w:w="60" w:type="dxa"/>
              <w:left w:w="140" w:type="dxa"/>
              <w:right w:w="140" w:type="dxa"/>
            </w:tcMar>
          </w:tcPr>
          <w:p>
            <w:pPr>
              <w:jc w:val="center"/>
            </w:pPr>
            <w:r>
              <w:rPr>
                <w:rFonts w:ascii="Calibri" w:hAnsi="Calibri"/>
                <w:i/>
                <w:color w:val="64748B"/>
                <w:sz w:val="17"/>
              </w:rPr>
              <w:t>B.Tech Capstone Project Submitted in Partial Fulfillment of Course Requirements in Game Theory</w:t>
            </w:r>
          </w:p>
        </w:tc>
      </w:tr>
    </w:tbl>
    <w:p>
      <w:r>
        <w:br w:type="page"/>
      </w:r>
    </w:p>
    <w:p>
      <w:pPr>
        <w:keepNext/>
        <w:spacing w:before="360" w:after="120"/>
      </w:pPr>
      <w:r>
        <w:rPr>
          <w:rFonts w:ascii="Calibri" w:hAnsi="Calibri"/>
          <w:b/>
          <w:color w:val="0F172A"/>
          <w:sz w:val="30"/>
        </w:rPr>
        <w:t>Abstract</w:t>
      </w:r>
    </w:p>
    <w:p>
      <w:pPr>
        <w:spacing w:before="0" w:after="120" w:line="276" w:lineRule="auto"/>
      </w:pPr>
      <w:r>
        <w:rPr>
          <w:rFonts w:ascii="Calibri" w:hAnsi="Calibri"/>
          <w:color w:val="334155"/>
          <w:sz w:val="21"/>
        </w:rPr>
        <w:t>Digital misinformation and viral unverified narratives pose severe systemic risks to public discourse, institutional trust, and online safety. Traditional content filtering models treat misinformation purely as a technical detection problem; however, content dissemination is fundamentally a strategic interaction between self-interested publishers and platform moderators. This academic project formulates the misinformation dilemma as a formal 2-player non-cooperative game between a Content Sharer and a Social Media Platform.</w:t>
      </w:r>
    </w:p>
    <w:p>
      <w:pPr>
        <w:spacing w:before="0" w:after="120" w:line="276" w:lineRule="auto"/>
      </w:pPr>
      <w:r>
        <w:rPr>
          <w:rFonts w:ascii="Calibri" w:hAnsi="Calibri"/>
          <w:color w:val="334155"/>
          <w:sz w:val="21"/>
        </w:rPr>
        <w:t>The Content Sharer chooses between spreading sensationalized content (S) or refraining (N), while the Platform chooses between weak, passive moderation (W) or proactive, aggressive moderation (M). Under calibrated payoff parameters reflecting viral ad revenue, brand damage, and moderation overhead, we prove that Strong Moderation is a strictly dominant strategy for the Platform. Consequently, the unique pure-strategy Nash equilibrium is (N, M) with equilibrium payoffs (0, 2), demonstrating that credible moderation structurally eliminates the publisher's incentive to spread misinformation.</w:t>
      </w:r>
    </w:p>
    <w:p>
      <w:pPr>
        <w:spacing w:before="0" w:after="120" w:line="276" w:lineRule="auto"/>
      </w:pPr>
      <w:r>
        <w:rPr>
          <w:rFonts w:ascii="Calibri" w:hAnsi="Calibri"/>
          <w:color w:val="334155"/>
          <w:sz w:val="21"/>
        </w:rPr>
        <w:t>To illustrate the macro-level impact of moderation, the game-theoretic formulation is coupled with a discrete-time logistic propagation simulation. Across a simulated population of N = 10,000 users, active moderation (m = 0.50) reduces cumulative exposure from 9,981 individuals (99.8% saturation) to 5,936 individuals (59.4%), shielding 4,044 users and achieving an empirical 40.5% exposure reduction. The model is implemented as a client-side web application in HTML5, CSS3, and JavaScript, providing an intuitive pedagogical tool for Game Theory analysis.</w:t>
      </w: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left w:val="single" w:sz="24" w:space="0" w:color="0284C7"/>
              <w:bottom w:val="none"/>
              <w:right w:val="none"/>
            </w:tcBorders>
          </w:tcPr>
          <w:p>
            <w:pPr>
              <w:spacing w:before="0" w:after="40" w:line="276" w:lineRule="auto"/>
            </w:pPr>
            <w:r>
              <w:rPr>
                <w:rFonts w:ascii="Calibri" w:hAnsi="Calibri"/>
                <w:b/>
                <w:color w:val="0F172A"/>
                <w:sz w:val="21"/>
              </w:rPr>
              <w:t>INDEX TERMS</w:t>
              <w:br/>
            </w:r>
            <w:r>
              <w:rPr>
                <w:rFonts w:ascii="Calibri" w:hAnsi="Calibri"/>
                <w:color w:val="1E293B"/>
                <w:sz w:val="19"/>
              </w:rPr>
              <w:t>Keywords: Game Theory, Strategic Deterrence, 2×2 Payoff Matrix, Strictly Dominant Strategy, Nash Equilibrium, Iterated Elimination of Strictly Dominated Strategies (IESDS), Discrete Logistic Simulation.</w:t>
            </w:r>
          </w:p>
        </w:tc>
      </w:tr>
    </w:tbl>
    <w:p>
      <w:pPr>
        <w:spacing w:before="0" w:after="80"/>
      </w:pPr>
    </w:p>
    <w:p>
      <w:pPr>
        <w:keepNext/>
        <w:spacing w:before="360" w:after="120"/>
      </w:pPr>
      <w:r>
        <w:rPr>
          <w:rFonts w:ascii="Calibri" w:hAnsi="Calibri"/>
          <w:b/>
          <w:color w:val="0F172A"/>
          <w:sz w:val="30"/>
        </w:rPr>
        <w:t>Table of Contents</w:t>
      </w:r>
    </w:p>
    <w:tbl>
      <w:tblPr>
        <w:tblW w:type="auto" w:w="0"/>
        <w:jc w:val="center"/>
        <w:tblLayout w:type="fixed"/>
        <w:tblLook w:firstColumn="1" w:firstRow="1" w:lastColumn="0" w:lastRow="0" w:noHBand="0" w:noVBand="1" w:val="04A0"/>
      </w:tblPr>
      <w:tblGrid>
        <w:gridCol w:w="4320"/>
        <w:gridCol w:w="4709"/>
      </w:tblGrid>
      <w:tr>
        <w:tc>
          <w:tcPr>
            <w:tcW w:type="dxa" w:w="4514"/>
            <w:tcMar>
              <w:top w:w="40" w:type="dxa"/>
              <w:bottom w:w="40" w:type="dxa"/>
              <w:left w:w="80" w:type="dxa"/>
              <w:right w:w="80" w:type="dxa"/>
            </w:tcMar>
            <w:shd w:fill="FFFFFF"/>
          </w:tcPr>
          <w:p>
            <w:r>
              <w:rPr>
                <w:rFonts w:ascii="Calibri" w:hAnsi="Calibri"/>
                <w:b/>
                <w:color w:val="0F172A"/>
                <w:sz w:val="19"/>
              </w:rPr>
              <w:t>1. Introduction</w:t>
            </w:r>
          </w:p>
        </w:tc>
        <w:tc>
          <w:tcPr>
            <w:tcW w:type="dxa" w:w="4514"/>
            <w:tcMar>
              <w:top w:w="40" w:type="dxa"/>
              <w:bottom w:w="40" w:type="dxa"/>
              <w:left w:w="80" w:type="dxa"/>
              <w:right w:w="80" w:type="dxa"/>
            </w:tcMar>
            <w:shd w:fill="FFFFFF"/>
          </w:tcPr>
          <w:p>
            <w:r>
              <w:rPr>
                <w:rFonts w:ascii="Calibri" w:hAnsi="Calibri"/>
                <w:color w:val="64748B"/>
                <w:sz w:val="18"/>
              </w:rPr>
              <w:t>Problem Context, Asymmetric Virality, and Game-Theoretic Rationale</w:t>
            </w:r>
          </w:p>
        </w:tc>
      </w:tr>
      <w:tr>
        <w:tc>
          <w:tcPr>
            <w:tcW w:type="dxa" w:w="4514"/>
            <w:tcMar>
              <w:top w:w="40" w:type="dxa"/>
              <w:bottom w:w="40" w:type="dxa"/>
              <w:left w:w="80" w:type="dxa"/>
              <w:right w:w="80" w:type="dxa"/>
            </w:tcMar>
            <w:shd w:fill="F8FAFC"/>
          </w:tcPr>
          <w:p>
            <w:r>
              <w:rPr>
                <w:rFonts w:ascii="Calibri" w:hAnsi="Calibri"/>
                <w:b/>
                <w:color w:val="0F172A"/>
                <w:sz w:val="19"/>
              </w:rPr>
              <w:t>2. Problem Statement</w:t>
            </w:r>
          </w:p>
        </w:tc>
        <w:tc>
          <w:tcPr>
            <w:tcW w:type="dxa" w:w="4514"/>
            <w:tcMar>
              <w:top w:w="40" w:type="dxa"/>
              <w:bottom w:w="40" w:type="dxa"/>
              <w:left w:w="80" w:type="dxa"/>
              <w:right w:w="80" w:type="dxa"/>
            </w:tcMar>
            <w:shd w:fill="F8FAFC"/>
          </w:tcPr>
          <w:p>
            <w:r>
              <w:rPr>
                <w:rFonts w:ascii="Calibri" w:hAnsi="Calibri"/>
                <w:color w:val="64748B"/>
                <w:sz w:val="18"/>
              </w:rPr>
              <w:t>Incentive Divergence, The Laissez-Faire Trap, and Research Questions</w:t>
            </w:r>
          </w:p>
        </w:tc>
      </w:tr>
      <w:tr>
        <w:tc>
          <w:tcPr>
            <w:tcW w:type="dxa" w:w="4514"/>
            <w:tcMar>
              <w:top w:w="40" w:type="dxa"/>
              <w:bottom w:w="40" w:type="dxa"/>
              <w:left w:w="80" w:type="dxa"/>
              <w:right w:w="80" w:type="dxa"/>
            </w:tcMar>
            <w:shd w:fill="FFFFFF"/>
          </w:tcPr>
          <w:p>
            <w:r>
              <w:rPr>
                <w:rFonts w:ascii="Calibri" w:hAnsi="Calibri"/>
                <w:b/>
                <w:color w:val="0F172A"/>
                <w:sz w:val="19"/>
              </w:rPr>
              <w:t>3. Objectives and Scope</w:t>
            </w:r>
          </w:p>
        </w:tc>
        <w:tc>
          <w:tcPr>
            <w:tcW w:type="dxa" w:w="4514"/>
            <w:tcMar>
              <w:top w:w="40" w:type="dxa"/>
              <w:bottom w:w="40" w:type="dxa"/>
              <w:left w:w="80" w:type="dxa"/>
              <w:right w:w="80" w:type="dxa"/>
            </w:tcMar>
            <w:shd w:fill="FFFFFF"/>
          </w:tcPr>
          <w:p>
            <w:r>
              <w:rPr>
                <w:rFonts w:ascii="Calibri" w:hAnsi="Calibri"/>
                <w:color w:val="64748B"/>
                <w:sz w:val="18"/>
              </w:rPr>
              <w:t>Academic Objectives, Technical Scope, and Methodological Boundaries</w:t>
            </w:r>
          </w:p>
        </w:tc>
      </w:tr>
      <w:tr>
        <w:tc>
          <w:tcPr>
            <w:tcW w:type="dxa" w:w="4514"/>
            <w:tcMar>
              <w:top w:w="40" w:type="dxa"/>
              <w:bottom w:w="40" w:type="dxa"/>
              <w:left w:w="80" w:type="dxa"/>
              <w:right w:w="80" w:type="dxa"/>
            </w:tcMar>
            <w:shd w:fill="F8FAFC"/>
          </w:tcPr>
          <w:p>
            <w:r>
              <w:rPr>
                <w:rFonts w:ascii="Calibri" w:hAnsi="Calibri"/>
                <w:b/>
                <w:color w:val="0F172A"/>
                <w:sz w:val="19"/>
              </w:rPr>
              <w:t>4. Background and Game Theory</w:t>
            </w:r>
          </w:p>
        </w:tc>
        <w:tc>
          <w:tcPr>
            <w:tcW w:type="dxa" w:w="4514"/>
            <w:tcMar>
              <w:top w:w="40" w:type="dxa"/>
              <w:bottom w:w="40" w:type="dxa"/>
              <w:left w:w="80" w:type="dxa"/>
              <w:right w:w="80" w:type="dxa"/>
            </w:tcMar>
            <w:shd w:fill="F8FAFC"/>
          </w:tcPr>
          <w:p>
            <w:r>
              <w:rPr>
                <w:rFonts w:ascii="Calibri" w:hAnsi="Calibri"/>
                <w:color w:val="64748B"/>
                <w:sz w:val="18"/>
              </w:rPr>
              <w:t>Formal Normal-Form Game, Players, Strategies, and Payoff Matrix</w:t>
            </w:r>
          </w:p>
        </w:tc>
      </w:tr>
      <w:tr>
        <w:tc>
          <w:tcPr>
            <w:tcW w:type="dxa" w:w="4514"/>
            <w:tcMar>
              <w:top w:w="40" w:type="dxa"/>
              <w:bottom w:w="40" w:type="dxa"/>
              <w:left w:w="80" w:type="dxa"/>
              <w:right w:w="80" w:type="dxa"/>
            </w:tcMar>
            <w:shd w:fill="FFFFFF"/>
          </w:tcPr>
          <w:p>
            <w:r>
              <w:rPr>
                <w:rFonts w:ascii="Calibri" w:hAnsi="Calibri"/>
                <w:color w:val="1E293B"/>
                <w:sz w:val="19"/>
              </w:rPr>
              <w:t xml:space="preserve">   4.1 Core Game Theory Concepts</w:t>
            </w:r>
          </w:p>
        </w:tc>
        <w:tc>
          <w:tcPr>
            <w:tcW w:type="dxa" w:w="4514"/>
            <w:tcMar>
              <w:top w:w="40" w:type="dxa"/>
              <w:bottom w:w="40" w:type="dxa"/>
              <w:left w:w="80" w:type="dxa"/>
              <w:right w:w="80" w:type="dxa"/>
            </w:tcMar>
            <w:shd w:fill="FFFFFF"/>
          </w:tcPr>
          <w:p>
            <w:r>
              <w:rPr>
                <w:rFonts w:ascii="Calibri" w:hAnsi="Calibri"/>
                <w:color w:val="64748B"/>
                <w:sz w:val="18"/>
              </w:rPr>
              <w:t>Definitions of Strategies, Utility Payoffs, and Dominance</w:t>
            </w:r>
          </w:p>
        </w:tc>
      </w:tr>
      <w:tr>
        <w:tc>
          <w:tcPr>
            <w:tcW w:type="dxa" w:w="4514"/>
            <w:tcMar>
              <w:top w:w="40" w:type="dxa"/>
              <w:bottom w:w="40" w:type="dxa"/>
              <w:left w:w="80" w:type="dxa"/>
              <w:right w:w="80" w:type="dxa"/>
            </w:tcMar>
            <w:shd w:fill="F8FAFC"/>
          </w:tcPr>
          <w:p>
            <w:r>
              <w:rPr>
                <w:rFonts w:ascii="Calibri" w:hAnsi="Calibri"/>
                <w:color w:val="1E293B"/>
                <w:sz w:val="19"/>
              </w:rPr>
              <w:t xml:space="preserve">   4.2 Players and Available Strategies</w:t>
            </w:r>
          </w:p>
        </w:tc>
        <w:tc>
          <w:tcPr>
            <w:tcW w:type="dxa" w:w="4514"/>
            <w:tcMar>
              <w:top w:w="40" w:type="dxa"/>
              <w:bottom w:w="40" w:type="dxa"/>
              <w:left w:w="80" w:type="dxa"/>
              <w:right w:w="80" w:type="dxa"/>
            </w:tcMar>
            <w:shd w:fill="F8FAFC"/>
          </w:tcPr>
          <w:p>
            <w:r>
              <w:rPr>
                <w:rFonts w:ascii="Calibri" w:hAnsi="Calibri"/>
                <w:color w:val="64748B"/>
                <w:sz w:val="18"/>
              </w:rPr>
              <w:t>Characterization of Content Sharer and Platform Moderator</w:t>
            </w:r>
          </w:p>
        </w:tc>
      </w:tr>
      <w:tr>
        <w:tc>
          <w:tcPr>
            <w:tcW w:type="dxa" w:w="4514"/>
            <w:tcMar>
              <w:top w:w="40" w:type="dxa"/>
              <w:bottom w:w="40" w:type="dxa"/>
              <w:left w:w="80" w:type="dxa"/>
              <w:right w:w="80" w:type="dxa"/>
            </w:tcMar>
            <w:shd w:fill="FFFFFF"/>
          </w:tcPr>
          <w:p>
            <w:r>
              <w:rPr>
                <w:rFonts w:ascii="Calibri" w:hAnsi="Calibri"/>
                <w:color w:val="1E293B"/>
                <w:sz w:val="19"/>
              </w:rPr>
              <w:t xml:space="preserve">   4.3 Payoff Matrix Formulation</w:t>
            </w:r>
          </w:p>
        </w:tc>
        <w:tc>
          <w:tcPr>
            <w:tcW w:type="dxa" w:w="4514"/>
            <w:tcMar>
              <w:top w:w="40" w:type="dxa"/>
              <w:bottom w:w="40" w:type="dxa"/>
              <w:left w:w="80" w:type="dxa"/>
              <w:right w:w="80" w:type="dxa"/>
            </w:tcMar>
            <w:shd w:fill="FFFFFF"/>
          </w:tcPr>
          <w:p>
            <w:r>
              <w:rPr>
                <w:rFonts w:ascii="Calibri" w:hAnsi="Calibri"/>
                <w:color w:val="64748B"/>
                <w:sz w:val="18"/>
              </w:rPr>
              <w:t>2×2 Payoff Matrix and Assigned Utility Values</w:t>
            </w:r>
          </w:p>
        </w:tc>
      </w:tr>
      <w:tr>
        <w:tc>
          <w:tcPr>
            <w:tcW w:type="dxa" w:w="4514"/>
            <w:tcMar>
              <w:top w:w="40" w:type="dxa"/>
              <w:bottom w:w="40" w:type="dxa"/>
              <w:left w:w="80" w:type="dxa"/>
              <w:right w:w="80" w:type="dxa"/>
            </w:tcMar>
            <w:shd w:fill="F8FAFC"/>
          </w:tcPr>
          <w:p>
            <w:r>
              <w:rPr>
                <w:rFonts w:ascii="Calibri" w:hAnsi="Calibri"/>
                <w:color w:val="1E293B"/>
                <w:sz w:val="19"/>
              </w:rPr>
              <w:t xml:space="preserve">   4.4 Best Responses and Strict Dominance</w:t>
            </w:r>
          </w:p>
        </w:tc>
        <w:tc>
          <w:tcPr>
            <w:tcW w:type="dxa" w:w="4514"/>
            <w:tcMar>
              <w:top w:w="40" w:type="dxa"/>
              <w:bottom w:w="40" w:type="dxa"/>
              <w:left w:w="80" w:type="dxa"/>
              <w:right w:w="80" w:type="dxa"/>
            </w:tcMar>
            <w:shd w:fill="F8FAFC"/>
          </w:tcPr>
          <w:p>
            <w:r>
              <w:rPr>
                <w:rFonts w:ascii="Calibri" w:hAnsi="Calibri"/>
                <w:color w:val="64748B"/>
                <w:sz w:val="18"/>
              </w:rPr>
              <w:t>Proof of Platform's Strictly Dominant Strategy</w:t>
            </w:r>
          </w:p>
        </w:tc>
      </w:tr>
      <w:tr>
        <w:tc>
          <w:tcPr>
            <w:tcW w:type="dxa" w:w="4514"/>
            <w:tcMar>
              <w:top w:w="40" w:type="dxa"/>
              <w:bottom w:w="40" w:type="dxa"/>
              <w:left w:w="80" w:type="dxa"/>
              <w:right w:w="80" w:type="dxa"/>
            </w:tcMar>
            <w:shd w:fill="FFFFFF"/>
          </w:tcPr>
          <w:p>
            <w:r>
              <w:rPr>
                <w:rFonts w:ascii="Calibri" w:hAnsi="Calibri"/>
                <w:color w:val="1E293B"/>
                <w:sz w:val="19"/>
              </w:rPr>
              <w:t xml:space="preserve">   4.5 Pure-Strategy Nash Equilibrium</w:t>
            </w:r>
          </w:p>
        </w:tc>
        <w:tc>
          <w:tcPr>
            <w:tcW w:type="dxa" w:w="4514"/>
            <w:tcMar>
              <w:top w:w="40" w:type="dxa"/>
              <w:bottom w:w="40" w:type="dxa"/>
              <w:left w:w="80" w:type="dxa"/>
              <w:right w:w="80" w:type="dxa"/>
            </w:tcMar>
            <w:shd w:fill="FFFFFF"/>
          </w:tcPr>
          <w:p>
            <w:r>
              <w:rPr>
                <w:rFonts w:ascii="Calibri" w:hAnsi="Calibri"/>
                <w:color w:val="64748B"/>
                <w:sz w:val="18"/>
              </w:rPr>
              <w:t>Unique Equilibrium at (N, M) and Stability Analysis</w:t>
            </w:r>
          </w:p>
        </w:tc>
      </w:tr>
      <w:tr>
        <w:tc>
          <w:tcPr>
            <w:tcW w:type="dxa" w:w="4514"/>
            <w:tcMar>
              <w:top w:w="40" w:type="dxa"/>
              <w:bottom w:w="40" w:type="dxa"/>
              <w:left w:w="80" w:type="dxa"/>
              <w:right w:w="80" w:type="dxa"/>
            </w:tcMar>
            <w:shd w:fill="F8FAFC"/>
          </w:tcPr>
          <w:p>
            <w:r>
              <w:rPr>
                <w:rFonts w:ascii="Calibri" w:hAnsi="Calibri"/>
                <w:color w:val="1E293B"/>
                <w:sz w:val="19"/>
              </w:rPr>
              <w:t xml:space="preserve">   4.6 Iterated Elimination (IESDS)</w:t>
            </w:r>
          </w:p>
        </w:tc>
        <w:tc>
          <w:tcPr>
            <w:tcW w:type="dxa" w:w="4514"/>
            <w:tcMar>
              <w:top w:w="40" w:type="dxa"/>
              <w:bottom w:w="40" w:type="dxa"/>
              <w:left w:w="80" w:type="dxa"/>
              <w:right w:w="80" w:type="dxa"/>
            </w:tcMar>
            <w:shd w:fill="F8FAFC"/>
          </w:tcPr>
          <w:p>
            <w:r>
              <w:rPr>
                <w:rFonts w:ascii="Calibri" w:hAnsi="Calibri"/>
                <w:color w:val="64748B"/>
                <w:sz w:val="18"/>
              </w:rPr>
              <w:t>Step-by-Step Strategic Elimination Proof</w:t>
            </w:r>
          </w:p>
        </w:tc>
      </w:tr>
      <w:tr>
        <w:tc>
          <w:tcPr>
            <w:tcW w:type="dxa" w:w="4514"/>
            <w:tcMar>
              <w:top w:w="40" w:type="dxa"/>
              <w:bottom w:w="40" w:type="dxa"/>
              <w:left w:w="80" w:type="dxa"/>
              <w:right w:w="80" w:type="dxa"/>
            </w:tcMar>
            <w:shd w:fill="FFFFFF"/>
          </w:tcPr>
          <w:p>
            <w:r>
              <w:rPr>
                <w:rFonts w:ascii="Calibri" w:hAnsi="Calibri"/>
                <w:b/>
                <w:color w:val="0F172A"/>
                <w:sz w:val="19"/>
              </w:rPr>
              <w:t>5. System Requirements and Technology Stack</w:t>
            </w:r>
          </w:p>
        </w:tc>
        <w:tc>
          <w:tcPr>
            <w:tcW w:type="dxa" w:w="4514"/>
            <w:tcMar>
              <w:top w:w="40" w:type="dxa"/>
              <w:bottom w:w="40" w:type="dxa"/>
              <w:left w:w="80" w:type="dxa"/>
              <w:right w:w="80" w:type="dxa"/>
            </w:tcMar>
            <w:shd w:fill="FFFFFF"/>
          </w:tcPr>
          <w:p>
            <w:r>
              <w:rPr>
                <w:rFonts w:ascii="Calibri" w:hAnsi="Calibri"/>
                <w:color w:val="64748B"/>
                <w:sz w:val="18"/>
              </w:rPr>
              <w:t>Client-Side Architecture, Modern JavaScript, and Static Hosting</w:t>
            </w:r>
          </w:p>
        </w:tc>
      </w:tr>
      <w:tr>
        <w:tc>
          <w:tcPr>
            <w:tcW w:type="dxa" w:w="4514"/>
            <w:tcMar>
              <w:top w:w="40" w:type="dxa"/>
              <w:bottom w:w="40" w:type="dxa"/>
              <w:left w:w="80" w:type="dxa"/>
              <w:right w:w="80" w:type="dxa"/>
            </w:tcMar>
            <w:shd w:fill="F8FAFC"/>
          </w:tcPr>
          <w:p>
            <w:r>
              <w:rPr>
                <w:rFonts w:ascii="Calibri" w:hAnsi="Calibri"/>
                <w:b/>
                <w:color w:val="0F172A"/>
                <w:sz w:val="19"/>
              </w:rPr>
              <w:t>6. Methodology and Simulation Model</w:t>
            </w:r>
          </w:p>
        </w:tc>
        <w:tc>
          <w:tcPr>
            <w:tcW w:type="dxa" w:w="4514"/>
            <w:tcMar>
              <w:top w:w="40" w:type="dxa"/>
              <w:bottom w:w="40" w:type="dxa"/>
              <w:left w:w="80" w:type="dxa"/>
              <w:right w:w="80" w:type="dxa"/>
            </w:tcMar>
            <w:shd w:fill="F8FAFC"/>
          </w:tcPr>
          <w:p>
            <w:r>
              <w:rPr>
                <w:rFonts w:ascii="Calibri" w:hAnsi="Calibri"/>
                <w:color w:val="64748B"/>
                <w:sz w:val="18"/>
              </w:rPr>
              <w:t>Conceptual Workflow, Discrete Recurrence, and Parameters</w:t>
            </w:r>
          </w:p>
        </w:tc>
      </w:tr>
      <w:tr>
        <w:tc>
          <w:tcPr>
            <w:tcW w:type="dxa" w:w="4514"/>
            <w:tcMar>
              <w:top w:w="40" w:type="dxa"/>
              <w:bottom w:w="40" w:type="dxa"/>
              <w:left w:w="80" w:type="dxa"/>
              <w:right w:w="80" w:type="dxa"/>
            </w:tcMar>
            <w:shd w:fill="FFFFFF"/>
          </w:tcPr>
          <w:p>
            <w:r>
              <w:rPr>
                <w:rFonts w:ascii="Calibri" w:hAnsi="Calibri"/>
                <w:color w:val="1E293B"/>
                <w:sz w:val="19"/>
              </w:rPr>
              <w:t xml:space="preserve">   6.1 Conceptual Simulation Workflow</w:t>
            </w:r>
          </w:p>
        </w:tc>
        <w:tc>
          <w:tcPr>
            <w:tcW w:type="dxa" w:w="4514"/>
            <w:tcMar>
              <w:top w:w="40" w:type="dxa"/>
              <w:bottom w:w="40" w:type="dxa"/>
              <w:left w:w="80" w:type="dxa"/>
              <w:right w:w="80" w:type="dxa"/>
            </w:tcMar>
            <w:shd w:fill="FFFFFF"/>
          </w:tcPr>
          <w:p>
            <w:r>
              <w:rPr>
                <w:rFonts w:ascii="Calibri" w:hAnsi="Calibri"/>
                <w:color w:val="64748B"/>
                <w:sz w:val="18"/>
              </w:rPr>
              <w:t>Parameter Input → Propagation → Moderation Damping → KPI Metrics</w:t>
            </w:r>
          </w:p>
        </w:tc>
      </w:tr>
      <w:tr>
        <w:tc>
          <w:tcPr>
            <w:tcW w:type="dxa" w:w="4514"/>
            <w:tcMar>
              <w:top w:w="40" w:type="dxa"/>
              <w:bottom w:w="40" w:type="dxa"/>
              <w:left w:w="80" w:type="dxa"/>
              <w:right w:w="80" w:type="dxa"/>
            </w:tcMar>
            <w:shd w:fill="F8FAFC"/>
          </w:tcPr>
          <w:p>
            <w:r>
              <w:rPr>
                <w:rFonts w:ascii="Calibri" w:hAnsi="Calibri"/>
                <w:color w:val="1E293B"/>
                <w:sz w:val="19"/>
              </w:rPr>
              <w:t xml:space="preserve">   6.2 Discrete Logistic Propagation Recurrence</w:t>
            </w:r>
          </w:p>
        </w:tc>
        <w:tc>
          <w:tcPr>
            <w:tcW w:type="dxa" w:w="4514"/>
            <w:tcMar>
              <w:top w:w="40" w:type="dxa"/>
              <w:bottom w:w="40" w:type="dxa"/>
              <w:left w:w="80" w:type="dxa"/>
              <w:right w:w="80" w:type="dxa"/>
            </w:tcMar>
            <w:shd w:fill="F8FAFC"/>
          </w:tcPr>
          <w:p>
            <w:r>
              <w:rPr>
                <w:rFonts w:ascii="Calibri" w:hAnsi="Calibri"/>
                <w:color w:val="64748B"/>
                <w:sz w:val="18"/>
              </w:rPr>
              <w:t>Implemented Recurrence Relation and Variable Definitions</w:t>
            </w:r>
          </w:p>
        </w:tc>
      </w:tr>
      <w:tr>
        <w:tc>
          <w:tcPr>
            <w:tcW w:type="dxa" w:w="4514"/>
            <w:tcMar>
              <w:top w:w="40" w:type="dxa"/>
              <w:bottom w:w="40" w:type="dxa"/>
              <w:left w:w="80" w:type="dxa"/>
              <w:right w:w="80" w:type="dxa"/>
            </w:tcMar>
            <w:shd w:fill="FFFFFF"/>
          </w:tcPr>
          <w:p>
            <w:r>
              <w:rPr>
                <w:rFonts w:ascii="Calibri" w:hAnsi="Calibri"/>
                <w:color w:val="1E293B"/>
                <w:sz w:val="19"/>
              </w:rPr>
              <w:t xml:space="preserve">   6.3 Simulation Parameters and Metrics</w:t>
            </w:r>
          </w:p>
        </w:tc>
        <w:tc>
          <w:tcPr>
            <w:tcW w:type="dxa" w:w="4514"/>
            <w:tcMar>
              <w:top w:w="40" w:type="dxa"/>
              <w:bottom w:w="40" w:type="dxa"/>
              <w:left w:w="80" w:type="dxa"/>
              <w:right w:w="80" w:type="dxa"/>
            </w:tcMar>
            <w:shd w:fill="FFFFFF"/>
          </w:tcPr>
          <w:p>
            <w:r>
              <w:rPr>
                <w:rFonts w:ascii="Calibri" w:hAnsi="Calibri"/>
                <w:color w:val="64748B"/>
                <w:sz w:val="18"/>
              </w:rPr>
              <w:t>Baseline Outbreak vs. Moderated Containment Metrics</w:t>
            </w:r>
          </w:p>
        </w:tc>
      </w:tr>
      <w:tr>
        <w:tc>
          <w:tcPr>
            <w:tcW w:type="dxa" w:w="4514"/>
            <w:tcMar>
              <w:top w:w="40" w:type="dxa"/>
              <w:bottom w:w="40" w:type="dxa"/>
              <w:left w:w="80" w:type="dxa"/>
              <w:right w:w="80" w:type="dxa"/>
            </w:tcMar>
            <w:shd w:fill="F8FAFC"/>
          </w:tcPr>
          <w:p>
            <w:r>
              <w:rPr>
                <w:rFonts w:ascii="Calibri" w:hAnsi="Calibri"/>
                <w:b/>
                <w:color w:val="0F172A"/>
                <w:sz w:val="19"/>
              </w:rPr>
              <w:t>7. System Design and Architecture</w:t>
            </w:r>
          </w:p>
        </w:tc>
        <w:tc>
          <w:tcPr>
            <w:tcW w:type="dxa" w:w="4514"/>
            <w:tcMar>
              <w:top w:w="40" w:type="dxa"/>
              <w:bottom w:w="40" w:type="dxa"/>
              <w:left w:w="80" w:type="dxa"/>
              <w:right w:w="80" w:type="dxa"/>
            </w:tcMar>
            <w:shd w:fill="F8FAFC"/>
          </w:tcPr>
          <w:p>
            <w:r>
              <w:rPr>
                <w:rFonts w:ascii="Calibri" w:hAnsi="Calibri"/>
                <w:color w:val="64748B"/>
                <w:sz w:val="18"/>
              </w:rPr>
              <w:t>Component Pipeline, Reactive State Store, and Dashboard UI</w:t>
            </w:r>
          </w:p>
        </w:tc>
      </w:tr>
      <w:tr>
        <w:tc>
          <w:tcPr>
            <w:tcW w:type="dxa" w:w="4514"/>
            <w:tcMar>
              <w:top w:w="40" w:type="dxa"/>
              <w:bottom w:w="40" w:type="dxa"/>
              <w:left w:w="80" w:type="dxa"/>
              <w:right w:w="80" w:type="dxa"/>
            </w:tcMar>
            <w:shd w:fill="FFFFFF"/>
          </w:tcPr>
          <w:p>
            <w:r>
              <w:rPr>
                <w:rFonts w:ascii="Calibri" w:hAnsi="Calibri"/>
                <w:b/>
                <w:color w:val="0F172A"/>
                <w:sz w:val="19"/>
              </w:rPr>
              <w:t>8. Implementation Details</w:t>
            </w:r>
          </w:p>
        </w:tc>
        <w:tc>
          <w:tcPr>
            <w:tcW w:type="dxa" w:w="4514"/>
            <w:tcMar>
              <w:top w:w="40" w:type="dxa"/>
              <w:bottom w:w="40" w:type="dxa"/>
              <w:left w:w="80" w:type="dxa"/>
              <w:right w:w="80" w:type="dxa"/>
            </w:tcMar>
            <w:shd w:fill="FFFFFF"/>
          </w:tcPr>
          <w:p>
            <w:r>
              <w:rPr>
                <w:rFonts w:ascii="Calibri" w:hAnsi="Calibri"/>
                <w:color w:val="64748B"/>
                <w:sz w:val="18"/>
              </w:rPr>
              <w:t>Equilibrium Solver Algorithm and Dynamic SVG Chart Rendering</w:t>
            </w:r>
          </w:p>
        </w:tc>
      </w:tr>
      <w:tr>
        <w:tc>
          <w:tcPr>
            <w:tcW w:type="dxa" w:w="4514"/>
            <w:tcMar>
              <w:top w:w="40" w:type="dxa"/>
              <w:bottom w:w="40" w:type="dxa"/>
              <w:left w:w="80" w:type="dxa"/>
              <w:right w:w="80" w:type="dxa"/>
            </w:tcMar>
            <w:shd w:fill="F8FAFC"/>
          </w:tcPr>
          <w:p>
            <w:r>
              <w:rPr>
                <w:rFonts w:ascii="Calibri" w:hAnsi="Calibri"/>
                <w:b/>
                <w:color w:val="0F172A"/>
                <w:sz w:val="19"/>
              </w:rPr>
              <w:t>9. Analysis, Simulation Results, and Discussion</w:t>
            </w:r>
          </w:p>
        </w:tc>
        <w:tc>
          <w:tcPr>
            <w:tcW w:type="dxa" w:w="4514"/>
            <w:tcMar>
              <w:top w:w="40" w:type="dxa"/>
              <w:bottom w:w="40" w:type="dxa"/>
              <w:left w:w="80" w:type="dxa"/>
              <w:right w:w="80" w:type="dxa"/>
            </w:tcMar>
            <w:shd w:fill="F8FAFC"/>
          </w:tcPr>
          <w:p>
            <w:r>
              <w:rPr>
                <w:rFonts w:ascii="Calibri" w:hAnsi="Calibri"/>
                <w:color w:val="64748B"/>
                <w:sz w:val="18"/>
              </w:rPr>
              <w:t>Quantitative Comparison, Saturation Flattening, and Findings</w:t>
            </w:r>
          </w:p>
        </w:tc>
      </w:tr>
      <w:tr>
        <w:tc>
          <w:tcPr>
            <w:tcW w:type="dxa" w:w="4514"/>
            <w:tcMar>
              <w:top w:w="40" w:type="dxa"/>
              <w:bottom w:w="40" w:type="dxa"/>
              <w:left w:w="80" w:type="dxa"/>
              <w:right w:w="80" w:type="dxa"/>
            </w:tcMar>
            <w:shd w:fill="FFFFFF"/>
          </w:tcPr>
          <w:p>
            <w:r>
              <w:rPr>
                <w:rFonts w:ascii="Calibri" w:hAnsi="Calibri"/>
                <w:color w:val="1E293B"/>
                <w:sz w:val="19"/>
              </w:rPr>
              <w:t xml:space="preserve">   9.1 Baseline vs. Moderated Contagion Findings</w:t>
            </w:r>
          </w:p>
        </w:tc>
        <w:tc>
          <w:tcPr>
            <w:tcW w:type="dxa" w:w="4514"/>
            <w:tcMar>
              <w:top w:w="40" w:type="dxa"/>
              <w:bottom w:w="40" w:type="dxa"/>
              <w:left w:w="80" w:type="dxa"/>
              <w:right w:w="80" w:type="dxa"/>
            </w:tcMar>
            <w:shd w:fill="FFFFFF"/>
          </w:tcPr>
          <w:p>
            <w:r>
              <w:rPr>
                <w:rFonts w:ascii="Calibri" w:hAnsi="Calibri"/>
                <w:color w:val="64748B"/>
                <w:sz w:val="18"/>
              </w:rPr>
              <w:t>Empirical Delta, S-Curve Flattening, and Exposure Reduction</w:t>
            </w:r>
          </w:p>
        </w:tc>
      </w:tr>
      <w:tr>
        <w:tc>
          <w:tcPr>
            <w:tcW w:type="dxa" w:w="4514"/>
            <w:tcMar>
              <w:top w:w="40" w:type="dxa"/>
              <w:bottom w:w="40" w:type="dxa"/>
              <w:left w:w="80" w:type="dxa"/>
              <w:right w:w="80" w:type="dxa"/>
            </w:tcMar>
            <w:shd w:fill="F8FAFC"/>
          </w:tcPr>
          <w:p>
            <w:r>
              <w:rPr>
                <w:rFonts w:ascii="Calibri" w:hAnsi="Calibri"/>
                <w:color w:val="1E293B"/>
                <w:sz w:val="19"/>
              </w:rPr>
              <w:t xml:space="preserve">   9.2 Key Analytical Takeaways</w:t>
            </w:r>
          </w:p>
        </w:tc>
        <w:tc>
          <w:tcPr>
            <w:tcW w:type="dxa" w:w="4514"/>
            <w:tcMar>
              <w:top w:w="40" w:type="dxa"/>
              <w:bottom w:w="40" w:type="dxa"/>
              <w:left w:w="80" w:type="dxa"/>
              <w:right w:w="80" w:type="dxa"/>
            </w:tcMar>
            <w:shd w:fill="F8FAFC"/>
          </w:tcPr>
          <w:p>
            <w:r>
              <w:rPr>
                <w:rFonts w:ascii="Calibri" w:hAnsi="Calibri"/>
                <w:color w:val="64748B"/>
                <w:sz w:val="18"/>
              </w:rPr>
              <w:t>Inflection Delay, Credible Deterrence, and Policy Insights</w:t>
            </w:r>
          </w:p>
        </w:tc>
      </w:tr>
      <w:tr>
        <w:tc>
          <w:tcPr>
            <w:tcW w:type="dxa" w:w="4514"/>
            <w:tcMar>
              <w:top w:w="40" w:type="dxa"/>
              <w:bottom w:w="40" w:type="dxa"/>
              <w:left w:w="80" w:type="dxa"/>
              <w:right w:w="80" w:type="dxa"/>
            </w:tcMar>
            <w:shd w:fill="FFFFFF"/>
          </w:tcPr>
          <w:p>
            <w:r>
              <w:rPr>
                <w:rFonts w:ascii="Calibri" w:hAnsi="Calibri"/>
                <w:b/>
                <w:color w:val="0F172A"/>
                <w:sz w:val="19"/>
              </w:rPr>
              <w:t>10. Testing and Verification</w:t>
            </w:r>
          </w:p>
        </w:tc>
        <w:tc>
          <w:tcPr>
            <w:tcW w:type="dxa" w:w="4514"/>
            <w:tcMar>
              <w:top w:w="40" w:type="dxa"/>
              <w:bottom w:w="40" w:type="dxa"/>
              <w:left w:w="80" w:type="dxa"/>
              <w:right w:w="80" w:type="dxa"/>
            </w:tcMar>
            <w:shd w:fill="FFFFFF"/>
          </w:tcPr>
          <w:p>
            <w:r>
              <w:rPr>
                <w:rFonts w:ascii="Calibri" w:hAnsi="Calibri"/>
                <w:color w:val="64748B"/>
                <w:sz w:val="18"/>
              </w:rPr>
              <w:t>Mathematical Invariants, Boundary Constraints, and Solver Stability</w:t>
            </w:r>
          </w:p>
        </w:tc>
      </w:tr>
      <w:tr>
        <w:tc>
          <w:tcPr>
            <w:tcW w:type="dxa" w:w="4514"/>
            <w:tcMar>
              <w:top w:w="40" w:type="dxa"/>
              <w:bottom w:w="40" w:type="dxa"/>
              <w:left w:w="80" w:type="dxa"/>
              <w:right w:w="80" w:type="dxa"/>
            </w:tcMar>
            <w:shd w:fill="F8FAFC"/>
          </w:tcPr>
          <w:p>
            <w:r>
              <w:rPr>
                <w:rFonts w:ascii="Calibri" w:hAnsi="Calibri"/>
                <w:b/>
                <w:color w:val="0F172A"/>
                <w:sz w:val="19"/>
              </w:rPr>
              <w:t>11. Limitations and Future Scope</w:t>
            </w:r>
          </w:p>
        </w:tc>
        <w:tc>
          <w:tcPr>
            <w:tcW w:type="dxa" w:w="4514"/>
            <w:tcMar>
              <w:top w:w="40" w:type="dxa"/>
              <w:bottom w:w="40" w:type="dxa"/>
              <w:left w:w="80" w:type="dxa"/>
              <w:right w:w="80" w:type="dxa"/>
            </w:tcMar>
            <w:shd w:fill="F8FAFC"/>
          </w:tcPr>
          <w:p>
            <w:r>
              <w:rPr>
                <w:rFonts w:ascii="Calibri" w:hAnsi="Calibri"/>
                <w:color w:val="64748B"/>
                <w:sz w:val="18"/>
              </w:rPr>
              <w:t>Academic Simplifications, Network Topologies, and Bayesian Extensions</w:t>
            </w:r>
          </w:p>
        </w:tc>
      </w:tr>
      <w:tr>
        <w:tc>
          <w:tcPr>
            <w:tcW w:type="dxa" w:w="4514"/>
            <w:tcMar>
              <w:top w:w="40" w:type="dxa"/>
              <w:bottom w:w="40" w:type="dxa"/>
              <w:left w:w="80" w:type="dxa"/>
              <w:right w:w="80" w:type="dxa"/>
            </w:tcMar>
            <w:shd w:fill="FFFFFF"/>
          </w:tcPr>
          <w:p>
            <w:r>
              <w:rPr>
                <w:rFonts w:ascii="Calibri" w:hAnsi="Calibri"/>
                <w:b/>
                <w:color w:val="0F172A"/>
                <w:sz w:val="19"/>
              </w:rPr>
              <w:t>12. Conclusion</w:t>
            </w:r>
          </w:p>
        </w:tc>
        <w:tc>
          <w:tcPr>
            <w:tcW w:type="dxa" w:w="4514"/>
            <w:tcMar>
              <w:top w:w="40" w:type="dxa"/>
              <w:bottom w:w="40" w:type="dxa"/>
              <w:left w:w="80" w:type="dxa"/>
              <w:right w:w="80" w:type="dxa"/>
            </w:tcMar>
            <w:shd w:fill="FFFFFF"/>
          </w:tcPr>
          <w:p>
            <w:r>
              <w:rPr>
                <w:rFonts w:ascii="Calibri" w:hAnsi="Calibri"/>
                <w:color w:val="64748B"/>
                <w:sz w:val="18"/>
              </w:rPr>
              <w:t>Project Summary, Game-Theoretic Synthesis, and Educational Value</w:t>
            </w:r>
          </w:p>
        </w:tc>
      </w:tr>
      <w:tr>
        <w:tc>
          <w:tcPr>
            <w:tcW w:type="dxa" w:w="4514"/>
            <w:tcMar>
              <w:top w:w="40" w:type="dxa"/>
              <w:bottom w:w="40" w:type="dxa"/>
              <w:left w:w="80" w:type="dxa"/>
              <w:right w:w="80" w:type="dxa"/>
            </w:tcMar>
            <w:shd w:fill="F8FAFC"/>
          </w:tcPr>
          <w:p>
            <w:r>
              <w:rPr>
                <w:rFonts w:ascii="Calibri" w:hAnsi="Calibri"/>
                <w:b/>
                <w:color w:val="0F172A"/>
                <w:sz w:val="19"/>
              </w:rPr>
              <w:t>References</w:t>
            </w:r>
          </w:p>
        </w:tc>
        <w:tc>
          <w:tcPr>
            <w:tcW w:type="dxa" w:w="4514"/>
            <w:tcMar>
              <w:top w:w="40" w:type="dxa"/>
              <w:bottom w:w="40" w:type="dxa"/>
              <w:left w:w="80" w:type="dxa"/>
              <w:right w:w="80" w:type="dxa"/>
            </w:tcMar>
            <w:shd w:fill="F8FAFC"/>
          </w:tcPr>
          <w:p>
            <w:r>
              <w:rPr>
                <w:rFonts w:ascii="Calibri" w:hAnsi="Calibri"/>
                <w:color w:val="64748B"/>
                <w:sz w:val="18"/>
              </w:rPr>
              <w:t>Formal Academic Citations and Literature References</w:t>
            </w:r>
          </w:p>
        </w:tc>
      </w:tr>
    </w:tbl>
    <w:p>
      <w:r>
        <w:br w:type="page"/>
      </w:r>
    </w:p>
    <w:p>
      <w:pPr>
        <w:keepNext/>
        <w:spacing w:before="360" w:after="120"/>
      </w:pPr>
      <w:r>
        <w:rPr>
          <w:rFonts w:ascii="Calibri" w:hAnsi="Calibri"/>
          <w:b/>
          <w:color w:val="0F172A"/>
          <w:sz w:val="30"/>
        </w:rPr>
        <w:t>1. Introduction</w:t>
      </w:r>
    </w:p>
    <w:p>
      <w:pPr>
        <w:spacing w:before="0" w:after="120" w:line="276" w:lineRule="auto"/>
      </w:pPr>
      <w:r>
        <w:rPr>
          <w:rFonts w:ascii="Calibri" w:hAnsi="Calibri"/>
          <w:color w:val="334155"/>
          <w:sz w:val="21"/>
        </w:rPr>
        <w:t>Digital misinformation, viral rumors, and fabricated news stories represent significant challenges across modern digital communication networks. Empirical studies in computational social science confirm that false news stories consistently diffuse significantly faster, deeper, and more broadly than verified factual reports. The structural reason for this disparity is rooted in the economics of information: sensationalized content triggers high emotional valence, prompting users to share links rapidly before fact-checking or authentication can occur.</w:t>
      </w:r>
    </w:p>
    <w:p>
      <w:pPr>
        <w:spacing w:before="0" w:after="120" w:line="276" w:lineRule="auto"/>
      </w:pPr>
      <w:r>
        <w:rPr>
          <w:rFonts w:ascii="Calibri" w:hAnsi="Calibri"/>
          <w:color w:val="334155"/>
          <w:sz w:val="21"/>
        </w:rPr>
        <w:t>A common misconception is that misinformation can be managed entirely through post-hoc technical filters or artificial intelligence classifiers. However, content dissemination is not an isolated mechanical process; it is a strategic interaction between self-interested content publishers and defensive platform hosts. When platforms implement defensive policies such as reach demotion, algorithmic downranking, or verification warnings, they fundamentally alter the expected payoffs of content creators. Content sharers who seek viral engagement or ad monetization evaluate the risk of detection against the expected audience reach. Conversely, social media platforms face operational and financial trade-offs: aggressive moderation incurs engineering and computational costs, but passive moderation risks brand erosion, advertiser boycotts, and legal liabilities.</w:t>
      </w:r>
    </w:p>
    <w:p>
      <w:pPr>
        <w:spacing w:before="0" w:after="120" w:line="276" w:lineRule="auto"/>
      </w:pPr>
      <w:r>
        <w:rPr>
          <w:rFonts w:ascii="Calibri" w:hAnsi="Calibri"/>
          <w:color w:val="334155"/>
          <w:sz w:val="21"/>
        </w:rPr>
        <w:t>Game Theory provides the appropriate mathematical framework to study this strategic interdependence. By modeling Content Sharers and Platforms as rational decision-makers in a non-cooperative normal-form game, this project analyzes how defensive platform enforcement influences creator behavior at equilibrium, and how strategic decisions translate into macroscopic population-level diffusion curves.</w:t>
      </w:r>
    </w:p>
    <w:p>
      <w:pPr>
        <w:keepNext/>
        <w:spacing w:before="360" w:after="120"/>
      </w:pPr>
      <w:r>
        <w:rPr>
          <w:rFonts w:ascii="Calibri" w:hAnsi="Calibri"/>
          <w:b/>
          <w:color w:val="0F172A"/>
          <w:sz w:val="30"/>
        </w:rPr>
        <w:t>2. Problem Statement</w:t>
      </w:r>
    </w:p>
    <w:p>
      <w:pPr>
        <w:spacing w:before="0" w:after="120" w:line="276" w:lineRule="auto"/>
      </w:pPr>
      <w:r>
        <w:rPr>
          <w:rFonts w:ascii="Calibri" w:hAnsi="Calibri"/>
          <w:color w:val="334155"/>
          <w:sz w:val="21"/>
        </w:rPr>
        <w:t>In modern social media ecosystems, platform integrity teams face an operational dilemma. Content publishers operating sensationalist channels optimize for click-through rates, social media clout, and advertising revenue. Fabricated or exaggerated narratives generate viral engagement with negligible production costs, allowing publishers to capture high private utility while externalizing the negative societal and informational costs onto the public.</w:t>
      </w:r>
    </w:p>
    <w:p>
      <w:pPr>
        <w:spacing w:before="0" w:after="120" w:line="276" w:lineRule="auto"/>
      </w:pPr>
      <w:r>
        <w:rPr>
          <w:rFonts w:ascii="Calibri" w:hAnsi="Calibri"/>
          <w:color w:val="334155"/>
          <w:sz w:val="21"/>
        </w:rPr>
        <w:t>Under a passive, laissez-faire moderation regime ('Weak Moderation'), the platform avoids real-time filtering overhead. However, this creates a perverse incentive structure: because spreading false news is rewarded with high virality while incurring no penalty, rational publishers will consistently choose to spread fake news. This dynamic leads to the 'Laissez-Faire Trap', wherein the platform suffers severe long-term reputational collapse, loss of advertiser trust, and regulatory penalties. Conversely, implementing 'Strong Moderation' requires continuous algorithmic monitoring and enforcement, but protects the overall health of the platform ecosystem.</w:t>
      </w:r>
    </w:p>
    <w:p>
      <w:pPr>
        <w:spacing w:before="0" w:after="120" w:line="276" w:lineRule="auto"/>
      </w:pPr>
      <w:r>
        <w:rPr>
          <w:rFonts w:ascii="Calibri" w:hAnsi="Calibri"/>
          <w:b/>
          <w:color w:val="1E293B"/>
          <w:sz w:val="21"/>
        </w:rPr>
        <w:t xml:space="preserve">Core Research Questions: </w:t>
      </w:r>
      <w:r>
        <w:rPr>
          <w:rFonts w:ascii="Calibri" w:hAnsi="Calibri"/>
          <w:color w:val="334155"/>
          <w:sz w:val="21"/>
        </w:rPr>
        <w:t>The primary problem addressed in this academic project can be structured around three central questions:</w:t>
      </w:r>
    </w:p>
    <w:p>
      <w:pPr>
        <w:pStyle w:val="ListBullet"/>
        <w:spacing w:before="20" w:after="60" w:line="276" w:lineRule="auto"/>
      </w:pPr>
      <w:r>
        <w:rPr>
          <w:rFonts w:ascii="Calibri" w:hAnsi="Calibri"/>
          <w:b/>
          <w:color w:val="1E293B"/>
          <w:sz w:val="20"/>
        </w:rPr>
        <w:t xml:space="preserve">1. Strategic Formalization: </w:t>
      </w:r>
      <w:r>
        <w:rPr>
          <w:rFonts w:ascii="Calibri" w:hAnsi="Calibri"/>
          <w:color w:val="334155"/>
          <w:sz w:val="20"/>
        </w:rPr>
        <w:t>How can the interaction between rational content creators and social media platforms be formalized in a normal-form game to identify stable equilibrium states?</w:t>
      </w:r>
    </w:p>
    <w:p>
      <w:pPr>
        <w:pStyle w:val="ListBullet"/>
        <w:spacing w:before="20" w:after="60" w:line="276" w:lineRule="auto"/>
      </w:pPr>
      <w:r>
        <w:rPr>
          <w:rFonts w:ascii="Calibri" w:hAnsi="Calibri"/>
          <w:b/>
          <w:color w:val="1E293B"/>
          <w:sz w:val="20"/>
        </w:rPr>
        <w:t xml:space="preserve">2. Dominance and Deterrence: </w:t>
      </w:r>
      <w:r>
        <w:rPr>
          <w:rFonts w:ascii="Calibri" w:hAnsi="Calibri"/>
          <w:color w:val="334155"/>
          <w:sz w:val="20"/>
        </w:rPr>
        <w:t>Under what payoff conditions does platform moderation become a strictly dominant strategy that credible deters misinformation ex-ante?</w:t>
      </w:r>
    </w:p>
    <w:p>
      <w:pPr>
        <w:pStyle w:val="ListBullet"/>
        <w:spacing w:before="20" w:after="60" w:line="276" w:lineRule="auto"/>
      </w:pPr>
      <w:r>
        <w:rPr>
          <w:rFonts w:ascii="Calibri" w:hAnsi="Calibri"/>
          <w:b/>
          <w:color w:val="1E293B"/>
          <w:sz w:val="20"/>
        </w:rPr>
        <w:t xml:space="preserve">3. Contagion Impact: </w:t>
      </w:r>
      <w:r>
        <w:rPr>
          <w:rFonts w:ascii="Calibri" w:hAnsi="Calibri"/>
          <w:color w:val="334155"/>
          <w:sz w:val="20"/>
        </w:rPr>
        <w:t>How does the strategic game-theoretic equilibrium translate into quantitative exposure reduction across a simulated population?</w:t>
      </w:r>
    </w:p>
    <w:p>
      <w:pPr>
        <w:keepNext/>
        <w:spacing w:before="360" w:after="120"/>
      </w:pPr>
      <w:r>
        <w:rPr>
          <w:rFonts w:ascii="Calibri" w:hAnsi="Calibri"/>
          <w:b/>
          <w:color w:val="0F172A"/>
          <w:sz w:val="30"/>
        </w:rPr>
        <w:t>3. Objectives and Scope</w:t>
      </w:r>
    </w:p>
    <w:p>
      <w:pPr>
        <w:spacing w:before="0" w:after="120" w:line="276" w:lineRule="auto"/>
      </w:pPr>
      <w:r>
        <w:rPr>
          <w:rFonts w:ascii="Calibri" w:hAnsi="Calibri"/>
          <w:color w:val="334155"/>
          <w:sz w:val="21"/>
        </w:rPr>
        <w:t>The primary academic and technical objectives of this project are as follows:</w:t>
      </w:r>
    </w:p>
    <w:p>
      <w:pPr>
        <w:pStyle w:val="ListBullet"/>
        <w:spacing w:before="20" w:after="60" w:line="276" w:lineRule="auto"/>
      </w:pPr>
      <w:r>
        <w:rPr>
          <w:rFonts w:ascii="Calibri" w:hAnsi="Calibri"/>
          <w:b/>
          <w:color w:val="1E293B"/>
          <w:sz w:val="20"/>
        </w:rPr>
        <w:t xml:space="preserve">1. Game Formulation: </w:t>
      </w:r>
      <w:r>
        <w:rPr>
          <w:rFonts w:ascii="Calibri" w:hAnsi="Calibri"/>
          <w:color w:val="334155"/>
          <w:sz w:val="20"/>
        </w:rPr>
        <w:t>Formulate a 2-player non-cooperative game modeling a Content Sharer (Player 1) and a Social Media Platform (Player 2) with discrete action spaces.</w:t>
      </w:r>
    </w:p>
    <w:p>
      <w:pPr>
        <w:pStyle w:val="ListBullet"/>
        <w:spacing w:before="20" w:after="60" w:line="276" w:lineRule="auto"/>
      </w:pPr>
      <w:r>
        <w:rPr>
          <w:rFonts w:ascii="Calibri" w:hAnsi="Calibri"/>
          <w:b/>
          <w:color w:val="1E293B"/>
          <w:sz w:val="20"/>
        </w:rPr>
        <w:t xml:space="preserve">2. Payoff Calibration: </w:t>
      </w:r>
      <w:r>
        <w:rPr>
          <w:rFonts w:ascii="Calibri" w:hAnsi="Calibri"/>
          <w:color w:val="334155"/>
          <w:sz w:val="20"/>
        </w:rPr>
        <w:t>Construct a normalized 2×2 payoff matrix mapping viral rewards, brand damage, compliance baseline, and moderation overhead.</w:t>
      </w:r>
    </w:p>
    <w:p>
      <w:pPr>
        <w:pStyle w:val="ListBullet"/>
        <w:spacing w:before="20" w:after="60" w:line="276" w:lineRule="auto"/>
      </w:pPr>
      <w:r>
        <w:rPr>
          <w:rFonts w:ascii="Calibri" w:hAnsi="Calibri"/>
          <w:b/>
          <w:color w:val="1E293B"/>
          <w:sz w:val="20"/>
        </w:rPr>
        <w:t xml:space="preserve">3. Equilibrium Analysis: </w:t>
      </w:r>
      <w:r>
        <w:rPr>
          <w:rFonts w:ascii="Calibri" w:hAnsi="Calibri"/>
          <w:color w:val="334155"/>
          <w:sz w:val="20"/>
        </w:rPr>
        <w:t>Rigorously compute player best-response correspondences, identify strictly dominant strategies, and prove the unique pure-strategy Nash equilibrium using Iterated Elimination of Strictly Dominated Strategies (IESDS).</w:t>
      </w:r>
    </w:p>
    <w:p>
      <w:pPr>
        <w:pStyle w:val="ListBullet"/>
        <w:spacing w:before="20" w:after="60" w:line="276" w:lineRule="auto"/>
      </w:pPr>
      <w:r>
        <w:rPr>
          <w:rFonts w:ascii="Calibri" w:hAnsi="Calibri"/>
          <w:b/>
          <w:color w:val="1E293B"/>
          <w:sz w:val="20"/>
        </w:rPr>
        <w:t xml:space="preserve">4. Contagion Simulation: </w:t>
      </w:r>
      <w:r>
        <w:rPr>
          <w:rFonts w:ascii="Calibri" w:hAnsi="Calibri"/>
          <w:color w:val="334155"/>
          <w:sz w:val="20"/>
        </w:rPr>
        <w:t>Coupled the strategic game with a discrete logistic propagation recurrence to simulate exposure over time and evaluate moderation damping.</w:t>
      </w:r>
    </w:p>
    <w:p>
      <w:pPr>
        <w:pStyle w:val="ListBullet"/>
        <w:spacing w:before="20" w:after="60" w:line="276" w:lineRule="auto"/>
      </w:pPr>
      <w:r>
        <w:rPr>
          <w:rFonts w:ascii="Calibri" w:hAnsi="Calibri"/>
          <w:b/>
          <w:color w:val="1E293B"/>
          <w:sz w:val="20"/>
        </w:rPr>
        <w:t xml:space="preserve">5. Quantitative Evaluation: </w:t>
      </w:r>
      <w:r>
        <w:rPr>
          <w:rFonts w:ascii="Calibri" w:hAnsi="Calibri"/>
          <w:color w:val="334155"/>
          <w:sz w:val="20"/>
        </w:rPr>
        <w:t>Quantify key epidemic metrics: baseline cumulative exposure, moderated exposure, infections prevented, and percentage exposure reduction.</w:t>
      </w:r>
    </w:p>
    <w:p>
      <w:pPr>
        <w:pStyle w:val="ListBullet"/>
        <w:spacing w:before="20" w:after="60" w:line="276" w:lineRule="auto"/>
      </w:pPr>
      <w:r>
        <w:rPr>
          <w:rFonts w:ascii="Calibri" w:hAnsi="Calibri"/>
          <w:b/>
          <w:color w:val="1E293B"/>
          <w:sz w:val="20"/>
        </w:rPr>
        <w:t xml:space="preserve">6. Interactive Web Laboratory: </w:t>
      </w:r>
      <w:r>
        <w:rPr>
          <w:rFonts w:ascii="Calibri" w:hAnsi="Calibri"/>
          <w:color w:val="334155"/>
          <w:sz w:val="20"/>
        </w:rPr>
        <w:t>Deliver a client-side, zero-backend interactive web application in HTML5, CSS3, and JavaScript, hosted on Vercel, to provide an intuitive tool for Game Theory demonstration.</w:t>
      </w: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top w:val="none"/>
              <w:left w:val="single" w:sz="24" w:space="0" w:color="0284C7"/>
              <w:bottom w:val="none"/>
              <w:right w:val="none"/>
            </w:tcBorders>
          </w:tcPr>
          <w:p>
            <w:pPr>
              <w:spacing w:before="0" w:after="40" w:line="276" w:lineRule="auto"/>
            </w:pPr>
            <w:r>
              <w:rPr>
                <w:rFonts w:ascii="Calibri" w:hAnsi="Calibri"/>
                <w:b/>
                <w:color w:val="0F172A"/>
                <w:sz w:val="21"/>
              </w:rPr>
              <w:t>METHODOLOGICAL BOUNDARIES</w:t>
              <w:br/>
            </w:r>
            <w:r>
              <w:rPr>
                <w:rFonts w:ascii="Calibri" w:hAnsi="Calibri"/>
                <w:color w:val="1E293B"/>
                <w:sz w:val="19"/>
              </w:rPr>
              <w:t>Academic Scope &amp; Pedagogical Focus:</w:t>
              <w:br/>
              <w:t>This project is developed as an academic educational laboratory for a B.Tech Game Theory course. The payoff values represent stylized utility rankings rather than empirical commercial dollar figures. The propagation model uses a standard discrete logistic recurrence over a finite well-mixed population. To maintain a transparent and viva-defensible focus, advanced topics outside the required scope—such as multi-stage stochastic games, dynamic network rewiring, and external third-party debunking—are intentionally excluded.</w:t>
            </w:r>
          </w:p>
        </w:tc>
      </w:tr>
    </w:tbl>
    <w:p>
      <w:pPr>
        <w:spacing w:before="0" w:after="80"/>
      </w:pPr>
    </w:p>
    <w:p>
      <w:pPr>
        <w:keepNext/>
        <w:spacing w:before="360" w:after="120"/>
      </w:pPr>
      <w:r>
        <w:rPr>
          <w:rFonts w:ascii="Calibri" w:hAnsi="Calibri"/>
          <w:b/>
          <w:color w:val="0F172A"/>
          <w:sz w:val="30"/>
        </w:rPr>
        <w:t>4. Background and Game Theory</w:t>
      </w:r>
    </w:p>
    <w:p>
      <w:pPr>
        <w:spacing w:before="0" w:after="120" w:line="276" w:lineRule="auto"/>
      </w:pPr>
      <w:r>
        <w:rPr>
          <w:rFonts w:ascii="Calibri" w:hAnsi="Calibri"/>
          <w:color w:val="334155"/>
          <w:sz w:val="21"/>
        </w:rPr>
        <w:t>Game Theory is the mathematical study of strategic interaction among rational decision-makers. A decision is strategic when the outcome for each participant depends not only on their own choice, but also on the choices made by other participants.</w:t>
      </w:r>
    </w:p>
    <w:p>
      <w:pPr>
        <w:keepNext/>
        <w:spacing w:before="240" w:after="80"/>
      </w:pPr>
      <w:r>
        <w:rPr>
          <w:rFonts w:ascii="Calibri" w:hAnsi="Calibri"/>
          <w:b/>
          <w:color w:val="0284C7"/>
          <w:sz w:val="24"/>
        </w:rPr>
        <w:t>4.1 Core Game Theory Concepts</w:t>
      </w:r>
    </w:p>
    <w:p>
      <w:pPr>
        <w:spacing w:before="0" w:after="120" w:line="276" w:lineRule="auto"/>
      </w:pPr>
      <w:r>
        <w:rPr>
          <w:rFonts w:ascii="Calibri" w:hAnsi="Calibri"/>
          <w:color w:val="334155"/>
          <w:sz w:val="21"/>
        </w:rPr>
        <w:t>A standard strategic normal-form game consists of three fundamental components:</w:t>
      </w:r>
    </w:p>
    <w:p>
      <w:pPr>
        <w:pStyle w:val="ListBullet"/>
        <w:spacing w:before="20" w:after="60" w:line="276" w:lineRule="auto"/>
      </w:pPr>
      <w:r>
        <w:rPr>
          <w:rFonts w:ascii="Calibri" w:hAnsi="Calibri"/>
          <w:b/>
          <w:color w:val="1E293B"/>
          <w:sz w:val="20"/>
        </w:rPr>
        <w:t xml:space="preserve">1. Players: </w:t>
      </w:r>
      <w:r>
        <w:rPr>
          <w:rFonts w:ascii="Calibri" w:hAnsi="Calibri"/>
          <w:color w:val="334155"/>
          <w:sz w:val="20"/>
        </w:rPr>
        <w:t>The rational decision-makers in the game. In this model, there are two players: Player 1 (Content Sharer) and Player 2 (Social Media Platform).</w:t>
      </w:r>
    </w:p>
    <w:p>
      <w:pPr>
        <w:pStyle w:val="ListBullet"/>
        <w:spacing w:before="20" w:after="60" w:line="276" w:lineRule="auto"/>
      </w:pPr>
      <w:r>
        <w:rPr>
          <w:rFonts w:ascii="Calibri" w:hAnsi="Calibri"/>
          <w:b/>
          <w:color w:val="1E293B"/>
          <w:sz w:val="20"/>
        </w:rPr>
        <w:t xml:space="preserve">2. Strategy Spaces: </w:t>
      </w:r>
      <w:r>
        <w:rPr>
          <w:rFonts w:ascii="Calibri" w:hAnsi="Calibri"/>
          <w:color w:val="334155"/>
          <w:sz w:val="20"/>
        </w:rPr>
        <w:t>The set of all possible actions available to each player. Players choose their actions independently and simultaneously.</w:t>
      </w:r>
    </w:p>
    <w:p>
      <w:pPr>
        <w:pStyle w:val="ListBullet"/>
        <w:spacing w:before="20" w:after="60" w:line="276" w:lineRule="auto"/>
      </w:pPr>
      <w:r>
        <w:rPr>
          <w:rFonts w:ascii="Calibri" w:hAnsi="Calibri"/>
          <w:b/>
          <w:color w:val="1E293B"/>
          <w:sz w:val="20"/>
        </w:rPr>
        <w:t xml:space="preserve">3. Utility Payoffs: </w:t>
      </w:r>
      <w:r>
        <w:rPr>
          <w:rFonts w:ascii="Calibri" w:hAnsi="Calibri"/>
          <w:color w:val="334155"/>
          <w:sz w:val="20"/>
        </w:rPr>
        <w:t>Numerical values assigned to each player for every possible combination of chosen strategies, representing their satisfaction, profit, or reputational payoff.</w:t>
      </w:r>
    </w:p>
    <w:p>
      <w:pPr>
        <w:pStyle w:val="ListBullet"/>
        <w:spacing w:before="20" w:after="60" w:line="276" w:lineRule="auto"/>
      </w:pPr>
      <w:r>
        <w:rPr>
          <w:rFonts w:ascii="Calibri" w:hAnsi="Calibri"/>
          <w:b/>
          <w:color w:val="1E293B"/>
          <w:sz w:val="20"/>
        </w:rPr>
        <w:t xml:space="preserve">4. Best Response: </w:t>
      </w:r>
      <w:r>
        <w:rPr>
          <w:rFonts w:ascii="Calibri" w:hAnsi="Calibri"/>
          <w:color w:val="334155"/>
          <w:sz w:val="20"/>
        </w:rPr>
        <w:t>The action that maximizes a player's payoff given a specific choice made by the other player.</w:t>
      </w:r>
    </w:p>
    <w:p>
      <w:pPr>
        <w:pStyle w:val="ListBullet"/>
        <w:spacing w:before="20" w:after="60" w:line="276" w:lineRule="auto"/>
      </w:pPr>
      <w:r>
        <w:rPr>
          <w:rFonts w:ascii="Calibri" w:hAnsi="Calibri"/>
          <w:b/>
          <w:color w:val="1E293B"/>
          <w:sz w:val="20"/>
        </w:rPr>
        <w:t xml:space="preserve">5. Strictly Dominant Strategy: </w:t>
      </w:r>
      <w:r>
        <w:rPr>
          <w:rFonts w:ascii="Calibri" w:hAnsi="Calibri"/>
          <w:color w:val="334155"/>
          <w:sz w:val="20"/>
        </w:rPr>
        <w:t>A strategy that gives a player a strictly higher payoff than any other strategy, regardless of what the opponent chooses.</w:t>
      </w:r>
    </w:p>
    <w:p>
      <w:pPr>
        <w:pStyle w:val="ListBullet"/>
        <w:spacing w:before="20" w:after="60" w:line="276" w:lineRule="auto"/>
      </w:pPr>
      <w:r>
        <w:rPr>
          <w:rFonts w:ascii="Calibri" w:hAnsi="Calibri"/>
          <w:b/>
          <w:color w:val="1E293B"/>
          <w:sz w:val="20"/>
        </w:rPr>
        <w:t xml:space="preserve">6. Nash Equilibrium: </w:t>
      </w:r>
      <w:r>
        <w:rPr>
          <w:rFonts w:ascii="Calibri" w:hAnsi="Calibri"/>
          <w:color w:val="334155"/>
          <w:sz w:val="20"/>
        </w:rPr>
        <w:t>A stable state where neither player can improve their own payoff by unilaterally changing their strategy while the other player's strategy remains unchanged.</w:t>
      </w:r>
    </w:p>
    <w:p>
      <w:pPr>
        <w:keepNext/>
        <w:spacing w:before="240" w:after="80"/>
      </w:pPr>
      <w:r>
        <w:rPr>
          <w:rFonts w:ascii="Calibri" w:hAnsi="Calibri"/>
          <w:b/>
          <w:color w:val="0284C7"/>
          <w:sz w:val="24"/>
        </w:rPr>
        <w:t>4.2 Players and Available Strategies</w:t>
      </w:r>
    </w:p>
    <w:p>
      <w:pPr>
        <w:spacing w:before="0" w:after="120" w:line="276" w:lineRule="auto"/>
      </w:pPr>
      <w:r>
        <w:rPr>
          <w:rFonts w:ascii="Calibri" w:hAnsi="Calibri"/>
          <w:color w:val="334155"/>
          <w:sz w:val="21"/>
        </w:rPr>
        <w:t>The two strategic players and their available action choices are defined as follows:</w:t>
      </w:r>
    </w:p>
    <w:p>
      <w:pPr>
        <w:pStyle w:val="ListBullet"/>
        <w:spacing w:before="20" w:after="60" w:line="276" w:lineRule="auto"/>
      </w:pPr>
      <w:r>
        <w:rPr>
          <w:rFonts w:ascii="Calibri" w:hAnsi="Calibri"/>
          <w:b/>
          <w:color w:val="1E293B"/>
          <w:sz w:val="20"/>
        </w:rPr>
        <w:t xml:space="preserve">Player 1: Content Sharer (Publisher): </w:t>
      </w:r>
      <w:r>
        <w:rPr>
          <w:rFonts w:ascii="Calibri" w:hAnsi="Calibri"/>
          <w:color w:val="334155"/>
          <w:sz w:val="20"/>
        </w:rPr>
        <w:t>An individual or organization that creates and disseminates digital content. Strategy S (Spread Fake News): Actively publish sensational, unverified claims to maximize reach and clicks. Strategy N (Do Not Spread): Publish verified organic content or refrain from sharing unverified rumors, adhering to community standards.</w:t>
      </w:r>
    </w:p>
    <w:p>
      <w:pPr>
        <w:pStyle w:val="ListBullet"/>
        <w:spacing w:before="20" w:after="60" w:line="276" w:lineRule="auto"/>
      </w:pPr>
      <w:r>
        <w:rPr>
          <w:rFonts w:ascii="Calibri" w:hAnsi="Calibri"/>
          <w:b/>
          <w:color w:val="1E293B"/>
          <w:sz w:val="20"/>
        </w:rPr>
        <w:t xml:space="preserve">Player 2: Social Media Platform (Operator): </w:t>
      </w:r>
      <w:r>
        <w:rPr>
          <w:rFonts w:ascii="Calibri" w:hAnsi="Calibri"/>
          <w:color w:val="334155"/>
          <w:sz w:val="20"/>
        </w:rPr>
        <w:t>The digital network hosting content. Strategy W (Weak Moderation): Passive, laissez-faire moderation relying only on delayed user reports; zero enforcement overhead. Strategy M (Strong Moderation): Proactive algorithmic filtering, reach throttling, and downranking of unverified claims.</w:t>
      </w:r>
    </w:p>
    <w:p>
      <w:pPr>
        <w:keepNext/>
        <w:spacing w:before="240" w:after="80"/>
      </w:pPr>
      <w:r>
        <w:rPr>
          <w:rFonts w:ascii="Calibri" w:hAnsi="Calibri"/>
          <w:b/>
          <w:color w:val="0284C7"/>
          <w:sz w:val="24"/>
        </w:rPr>
        <w:t>4.3 Payoff Matrix Formulation</w:t>
      </w:r>
    </w:p>
    <w:p>
      <w:pPr>
        <w:spacing w:before="0" w:after="120" w:line="276" w:lineRule="auto"/>
      </w:pPr>
      <w:r>
        <w:rPr>
          <w:rFonts w:ascii="Calibri" w:hAnsi="Calibri"/>
          <w:color w:val="334155"/>
          <w:sz w:val="21"/>
        </w:rPr>
        <w:t>The strategic interaction is formalized in a 2×2 normal-form payoff matrix. Payoffs are ordered as (u_Sharer, u_Platform), where the first number is the Content Sharer's utility and the second is the Platform's utility:</w:t>
      </w:r>
    </w:p>
    <w:tbl>
      <w:tblPr>
        <w:tblW w:type="auto" w:w="0"/>
        <w:jc w:val="center"/>
        <w:tblLayout w:type="fixed"/>
        <w:tblLook w:firstColumn="1" w:firstRow="1" w:lastColumn="0" w:lastRow="0" w:noHBand="0" w:noVBand="1" w:val="04A0"/>
      </w:tblPr>
      <w:tblGrid>
        <w:gridCol w:w="3010"/>
        <w:gridCol w:w="3010"/>
        <w:gridCol w:w="3010"/>
      </w:tblGrid>
      <w:tr>
        <w:tc>
          <w:tcPr>
            <w:tcW w:type="dxa" w:w="2880"/>
            <w:shd w:fill="0F172A"/>
            <w:tcMar>
              <w:top w:w="100" w:type="dxa"/>
              <w:bottom w:w="100" w:type="dxa"/>
              <w:left w:w="100" w:type="dxa"/>
              <w:right w:w="100" w:type="dxa"/>
            </w:tcMar>
          </w:tcPr>
          <w:p>
            <w:pPr>
              <w:jc w:val="center"/>
            </w:pPr>
            <w:r>
              <w:rPr>
                <w:rFonts w:ascii="Calibri" w:hAnsi="Calibri"/>
                <w:b/>
                <w:color w:val="FFFFFF"/>
                <w:sz w:val="20"/>
              </w:rPr>
              <w:t>Sharer Strategy</w:t>
            </w:r>
          </w:p>
        </w:tc>
        <w:tc>
          <w:tcPr>
            <w:tcW w:type="dxa" w:w="3067"/>
            <w:shd w:fill="0F172A"/>
            <w:tcMar>
              <w:top w:w="100" w:type="dxa"/>
              <w:bottom w:w="100" w:type="dxa"/>
              <w:left w:w="100" w:type="dxa"/>
              <w:right w:w="100" w:type="dxa"/>
            </w:tcMar>
          </w:tcPr>
          <w:p>
            <w:pPr>
              <w:jc w:val="center"/>
            </w:pPr>
            <w:r>
              <w:rPr>
                <w:rFonts w:ascii="Calibri" w:hAnsi="Calibri"/>
                <w:b/>
                <w:color w:val="FFFFFF"/>
                <w:sz w:val="20"/>
              </w:rPr>
              <w:t>Platform: Weak (W)</w:t>
            </w:r>
          </w:p>
        </w:tc>
        <w:tc>
          <w:tcPr>
            <w:tcW w:type="dxa" w:w="3082"/>
            <w:shd w:fill="0F172A"/>
            <w:tcMar>
              <w:top w:w="100" w:type="dxa"/>
              <w:bottom w:w="100" w:type="dxa"/>
              <w:left w:w="100" w:type="dxa"/>
              <w:right w:w="100" w:type="dxa"/>
            </w:tcMar>
          </w:tcPr>
          <w:p>
            <w:pPr>
              <w:jc w:val="center"/>
            </w:pPr>
            <w:r>
              <w:rPr>
                <w:rFonts w:ascii="Calibri" w:hAnsi="Calibri"/>
                <w:b/>
                <w:color w:val="FFFFFF"/>
                <w:sz w:val="20"/>
              </w:rPr>
              <w:t>Platform: Strong (M)</w:t>
            </w:r>
          </w:p>
        </w:tc>
      </w:tr>
      <w:tr>
        <w:tc>
          <w:tcPr>
            <w:tcW w:type="dxa" w:w="2880"/>
            <w:shd w:fill="F1F5F9"/>
            <w:tcMar>
              <w:top w:w="100" w:type="dxa"/>
              <w:bottom w:w="100" w:type="dxa"/>
              <w:left w:w="100" w:type="dxa"/>
              <w:right w:w="100" w:type="dxa"/>
            </w:tcMar>
          </w:tcPr>
          <w:p>
            <w:r>
              <w:rPr>
                <w:rFonts w:ascii="Calibri" w:hAnsi="Calibri"/>
                <w:b/>
                <w:color w:val="0F172A"/>
                <w:sz w:val="20"/>
              </w:rPr>
              <w:t>Spread (S)</w:t>
            </w:r>
          </w:p>
        </w:tc>
        <w:tc>
          <w:tcPr>
            <w:tcW w:type="dxa" w:w="3067"/>
            <w:shd w:fill="FFFFFF"/>
            <w:tcMar>
              <w:top w:w="100" w:type="dxa"/>
              <w:bottom w:w="100" w:type="dxa"/>
              <w:left w:w="100" w:type="dxa"/>
              <w:right w:w="100" w:type="dxa"/>
            </w:tcMar>
          </w:tcPr>
          <w:p>
            <w:pPr>
              <w:jc w:val="center"/>
            </w:pPr>
            <w:r>
              <w:rPr>
                <w:rFonts w:ascii="Courier New" w:hAnsi="Courier New"/>
                <w:b/>
                <w:color w:val="0F172A"/>
                <w:sz w:val="22"/>
              </w:rPr>
              <w:t>(5.0, -4.0)</w:t>
              <w:br/>
            </w:r>
            <w:r>
              <w:rPr>
                <w:rFonts w:ascii="Calibri" w:hAnsi="Calibri"/>
                <w:color w:val="64748B"/>
                <w:sz w:val="17"/>
              </w:rPr>
              <w:t>Viral Exploitation</w:t>
            </w:r>
          </w:p>
        </w:tc>
        <w:tc>
          <w:tcPr>
            <w:tcW w:type="dxa" w:w="3082"/>
            <w:shd w:fill="FFFFFF"/>
            <w:tcMar>
              <w:top w:w="100" w:type="dxa"/>
              <w:bottom w:w="100" w:type="dxa"/>
              <w:left w:w="100" w:type="dxa"/>
              <w:right w:w="100" w:type="dxa"/>
            </w:tcMar>
          </w:tcPr>
          <w:p>
            <w:pPr>
              <w:jc w:val="center"/>
            </w:pPr>
            <w:r>
              <w:rPr>
                <w:rFonts w:ascii="Courier New" w:hAnsi="Courier New"/>
                <w:b/>
                <w:color w:val="0F172A"/>
                <w:sz w:val="22"/>
              </w:rPr>
              <w:t>(-2.0, 3.0)</w:t>
              <w:br/>
            </w:r>
            <w:r>
              <w:rPr>
                <w:rFonts w:ascii="Calibri" w:hAnsi="Calibri"/>
                <w:color w:val="64748B"/>
                <w:sz w:val="17"/>
              </w:rPr>
              <w:t>Active Deterrence</w:t>
            </w:r>
          </w:p>
        </w:tc>
      </w:tr>
      <w:tr>
        <w:tc>
          <w:tcPr>
            <w:tcW w:type="dxa" w:w="2880"/>
            <w:shd w:fill="F1F5F9"/>
            <w:tcMar>
              <w:top w:w="100" w:type="dxa"/>
              <w:bottom w:w="100" w:type="dxa"/>
              <w:left w:w="100" w:type="dxa"/>
              <w:right w:w="100" w:type="dxa"/>
            </w:tcMar>
          </w:tcPr>
          <w:p>
            <w:r>
              <w:rPr>
                <w:rFonts w:ascii="Calibri" w:hAnsi="Calibri"/>
                <w:b/>
                <w:color w:val="0F172A"/>
                <w:sz w:val="20"/>
              </w:rPr>
              <w:t>Do Not Spread (N)</w:t>
            </w:r>
          </w:p>
        </w:tc>
        <w:tc>
          <w:tcPr>
            <w:tcW w:type="dxa" w:w="3067"/>
            <w:shd w:fill="FFFFFF"/>
            <w:tcMar>
              <w:top w:w="100" w:type="dxa"/>
              <w:bottom w:w="100" w:type="dxa"/>
              <w:left w:w="100" w:type="dxa"/>
              <w:right w:w="100" w:type="dxa"/>
            </w:tcMar>
          </w:tcPr>
          <w:p>
            <w:pPr>
              <w:jc w:val="center"/>
            </w:pPr>
            <w:r>
              <w:rPr>
                <w:rFonts w:ascii="Courier New" w:hAnsi="Courier New"/>
                <w:b/>
                <w:color w:val="0F172A"/>
                <w:sz w:val="22"/>
              </w:rPr>
              <w:t>(1.0, 0.0)</w:t>
              <w:br/>
            </w:r>
            <w:r>
              <w:rPr>
                <w:rFonts w:ascii="Calibri" w:hAnsi="Calibri"/>
                <w:color w:val="64748B"/>
                <w:sz w:val="17"/>
              </w:rPr>
              <w:t>Laissez-Faire Baseline</w:t>
            </w:r>
          </w:p>
        </w:tc>
        <w:tc>
          <w:tcPr>
            <w:tcW w:type="dxa" w:w="3082"/>
            <w:shd w:fill="ECFDF5"/>
            <w:tcMar>
              <w:top w:w="100" w:type="dxa"/>
              <w:bottom w:w="100" w:type="dxa"/>
              <w:left w:w="100" w:type="dxa"/>
              <w:right w:w="100" w:type="dxa"/>
            </w:tcMar>
            <w:tcBorders>
              <w:top w:val="single" w:sz="18" w:space="0" w:color="059669"/>
              <w:left w:val="single" w:sz="18" w:space="0" w:color="059669"/>
              <w:bottom w:val="single" w:sz="18" w:space="0" w:color="059669"/>
              <w:right w:val="single" w:sz="18" w:space="0" w:color="059669"/>
            </w:tcBorders>
          </w:tcPr>
          <w:p>
            <w:pPr>
              <w:jc w:val="center"/>
            </w:pPr>
            <w:r>
              <w:rPr>
                <w:rFonts w:ascii="Courier New" w:hAnsi="Courier New"/>
                <w:b/>
                <w:color w:val="059669"/>
                <w:sz w:val="22"/>
              </w:rPr>
              <w:t>(0.0, 2.0)</w:t>
              <w:br/>
            </w:r>
            <w:r>
              <w:rPr>
                <w:rFonts w:ascii="Calibri" w:hAnsi="Calibri"/>
                <w:b/>
                <w:color w:val="059669"/>
                <w:sz w:val="17"/>
              </w:rPr>
              <w:t>★ NASH EQUILIBRIUM</w:t>
            </w:r>
          </w:p>
        </w:tc>
      </w:tr>
    </w:tbl>
    <w:p>
      <w:pPr>
        <w:spacing w:before="0" w:after="160" w:line="276" w:lineRule="auto"/>
      </w:pPr>
      <w:r>
        <w:rPr>
          <w:rFonts w:ascii="Calibri" w:hAnsi="Calibri"/>
          <w:color w:val="334155"/>
          <w:sz w:val="21"/>
        </w:rPr>
        <w:t>Explanation of Assigned Payoffs:</w:t>
        <w:br/>
        <w:t>• Cell (S, W) = (5, -4): The sharer gains viral reach and ad revenue (+5), while the platform suffers severe brand damage (-4) from unmoderated misinformation.</w:t>
        <w:br/>
        <w:t>• Cell (S, M) = (-2, 3): Strong moderation throttles the sharer's reach and applies account penalties (-2), while the platform defends its reputation (+3).</w:t>
        <w:br/>
        <w:t>• Cell (N, W) = (1, 0): Normal sharing generates standard social utility (+1) for the sharer, with neutral status quo (0) for the platform.</w:t>
        <w:br/>
        <w:t>• Cell (N, M) = (0, 2): Compliance yields baseline satisfaction (0) for the sharer, while the platform maintains a healthy, trusted ecosystem (+2).</w:t>
      </w:r>
    </w:p>
    <w:p>
      <w:pPr>
        <w:keepNext/>
        <w:spacing w:before="240" w:after="80"/>
      </w:pPr>
      <w:r>
        <w:rPr>
          <w:rFonts w:ascii="Calibri" w:hAnsi="Calibri"/>
          <w:b/>
          <w:color w:val="0284C7"/>
          <w:sz w:val="24"/>
        </w:rPr>
        <w:t>4.4 Best Responses and Strict Dominance</w:t>
      </w:r>
    </w:p>
    <w:p>
      <w:pPr>
        <w:spacing w:before="0" w:after="120" w:line="276" w:lineRule="auto"/>
      </w:pPr>
      <w:r>
        <w:rPr>
          <w:rFonts w:ascii="Calibri" w:hAnsi="Calibri"/>
          <w:color w:val="334155"/>
          <w:sz w:val="21"/>
        </w:rPr>
        <w:t>We determine the optimal decision for each player using straightforward numerical comparisons:</w:t>
      </w:r>
    </w:p>
    <w:p>
      <w:pPr>
        <w:spacing w:before="0" w:after="120" w:line="276" w:lineRule="auto"/>
      </w:pPr>
      <w:r>
        <w:rPr>
          <w:rFonts w:ascii="Calibri" w:hAnsi="Calibri"/>
          <w:color w:val="334155"/>
          <w:sz w:val="21"/>
        </w:rPr>
        <w:t>1. Platform's Best Responses:</w:t>
      </w:r>
    </w:p>
    <w:p>
      <w:pPr>
        <w:pStyle w:val="ListBullet"/>
        <w:spacing w:before="20" w:after="60" w:line="276" w:lineRule="auto"/>
      </w:pPr>
      <w:r>
        <w:rPr>
          <w:rFonts w:ascii="Calibri" w:hAnsi="Calibri"/>
          <w:b/>
          <w:color w:val="1E293B"/>
          <w:sz w:val="20"/>
        </w:rPr>
        <w:t xml:space="preserve">• If the Sharer plays Spread (S): </w:t>
      </w:r>
      <w:r>
        <w:rPr>
          <w:rFonts w:ascii="Calibri" w:hAnsi="Calibri"/>
          <w:color w:val="334155"/>
          <w:sz w:val="20"/>
        </w:rPr>
        <w:t>The platform compares payoff -4 (Weak) vs. 3 (Strong). Since 3 &gt; -4, the platform strictly prefers Strong Moderation (M).</w:t>
      </w:r>
    </w:p>
    <w:p>
      <w:pPr>
        <w:pStyle w:val="ListBullet"/>
        <w:spacing w:before="20" w:after="60" w:line="276" w:lineRule="auto"/>
      </w:pPr>
      <w:r>
        <w:rPr>
          <w:rFonts w:ascii="Calibri" w:hAnsi="Calibri"/>
          <w:b/>
          <w:color w:val="1E293B"/>
          <w:sz w:val="20"/>
        </w:rPr>
        <w:t xml:space="preserve">• If the Sharer plays Do Not Spread (N): </w:t>
      </w:r>
      <w:r>
        <w:rPr>
          <w:rFonts w:ascii="Calibri" w:hAnsi="Calibri"/>
          <w:color w:val="334155"/>
          <w:sz w:val="20"/>
        </w:rPr>
        <w:t>The platform compares payoff 0 (Weak) vs. 2 (Strong). Since 2 &gt; 0, the platform strictly prefers Strong Moderation (M).</w:t>
      </w:r>
    </w:p>
    <w:p>
      <w:pPr>
        <w:spacing w:before="0" w:after="120" w:line="276" w:lineRule="auto"/>
      </w:pPr>
      <w:r>
        <w:rPr>
          <w:rFonts w:ascii="Calibri" w:hAnsi="Calibri"/>
          <w:b/>
          <w:color w:val="1E293B"/>
          <w:sz w:val="21"/>
        </w:rPr>
        <w:t xml:space="preserve">Dominant Strategy: </w:t>
      </w:r>
      <w:r>
        <w:rPr>
          <w:rFonts w:ascii="Calibri" w:hAnsi="Calibri"/>
          <w:color w:val="334155"/>
          <w:sz w:val="21"/>
        </w:rPr>
        <w:t>Strict Dominance Conclusion: In every possible circumstance, Strong Moderation yields a strictly higher payoff for the platform than Weak Moderation. Therefore, Strong Moderation (M) is a strictly dominant strategy for the platform.</w:t>
      </w:r>
    </w:p>
    <w:p>
      <w:pPr>
        <w:spacing w:before="0" w:after="120" w:line="276" w:lineRule="auto"/>
      </w:pPr>
      <w:r>
        <w:rPr>
          <w:rFonts w:ascii="Calibri" w:hAnsi="Calibri"/>
          <w:color w:val="334155"/>
          <w:sz w:val="21"/>
        </w:rPr>
        <w:t>2. Sharer's Best Response:</w:t>
      </w:r>
    </w:p>
    <w:p>
      <w:pPr>
        <w:pStyle w:val="ListBullet"/>
        <w:spacing w:before="20" w:after="60" w:line="276" w:lineRule="auto"/>
      </w:pPr>
      <w:r>
        <w:rPr>
          <w:rFonts w:ascii="Calibri" w:hAnsi="Calibri"/>
          <w:b/>
          <w:color w:val="1E293B"/>
          <w:sz w:val="20"/>
        </w:rPr>
        <w:t xml:space="preserve">• Given Strong Moderation (M): </w:t>
      </w:r>
      <w:r>
        <w:rPr>
          <w:rFonts w:ascii="Calibri" w:hAnsi="Calibri"/>
          <w:color w:val="334155"/>
          <w:sz w:val="20"/>
        </w:rPr>
        <w:t>Knowing the rational platform will choose Strong Moderation, the sharer compares payoff -2 (Spread) vs. 0 (Do Not Spread). Since 0 &gt; -2, the sharer strictly prefers Do Not Spread (N).</w:t>
      </w:r>
    </w:p>
    <w:p>
      <w:pPr>
        <w:keepNext/>
        <w:spacing w:before="240" w:after="80"/>
      </w:pPr>
      <w:r>
        <w:rPr>
          <w:rFonts w:ascii="Calibri" w:hAnsi="Calibri"/>
          <w:b/>
          <w:color w:val="0284C7"/>
          <w:sz w:val="24"/>
        </w:rPr>
        <w:t>4.5 Pure-Strategy Nash Equilibrium</w:t>
      </w:r>
    </w:p>
    <w:tbl>
      <w:tblPr>
        <w:tblW w:type="auto" w:w="0"/>
        <w:jc w:val="center"/>
        <w:tblLayout w:type="fixed"/>
        <w:tblLook w:firstColumn="1" w:firstRow="1" w:lastColumn="0" w:lastRow="0" w:noHBand="0" w:noVBand="1" w:val="04A0"/>
      </w:tblPr>
      <w:tblGrid>
        <w:gridCol w:w="9029"/>
      </w:tblGrid>
      <w:tr>
        <w:tc>
          <w:tcPr>
            <w:tcW w:type="dxa" w:w="9029"/>
            <w:shd w:fill="ECFDF5"/>
            <w:tcMar>
              <w:top w:w="140" w:type="dxa"/>
              <w:bottom w:w="140" w:type="dxa"/>
              <w:left w:w="180" w:type="dxa"/>
              <w:right w:w="180" w:type="dxa"/>
            </w:tcMar>
            <w:tcBorders>
              <w:top w:val="none"/>
              <w:left w:val="single" w:sz="24" w:space="0" w:color="059669"/>
              <w:bottom w:val="none"/>
              <w:right w:val="none"/>
            </w:tcBorders>
          </w:tcPr>
          <w:p>
            <w:pPr>
              <w:spacing w:before="0" w:after="40" w:line="276" w:lineRule="auto"/>
            </w:pPr>
            <w:r>
              <w:rPr>
                <w:rFonts w:ascii="Calibri" w:hAnsi="Calibri"/>
                <w:b/>
                <w:color w:val="0F172A"/>
                <w:sz w:val="21"/>
              </w:rPr>
              <w:t>NASH EQUILIBRIUM SUMMARY</w:t>
              <w:br/>
            </w:r>
            <w:r>
              <w:rPr>
                <w:rFonts w:ascii="Calibri" w:hAnsi="Calibri"/>
                <w:color w:val="1E293B"/>
                <w:sz w:val="19"/>
              </w:rPr>
              <w:t>Unique Pure-Strategy Nash Equilibrium: (N, M) = (Do Not Spread, Strong Moderation)</w:t>
              <w:br/>
              <w:t>Equilibrium Payoffs: (0.0, 2.0)</w:t>
              <w:br/>
              <w:br/>
              <w:t>Intuitive Viva Explanation: A Nash equilibrium is a situation where neither player can improve their own payoff by unilaterally changing their strategy while the other player's strategy stays fixed.</w:t>
              <w:br/>
              <w:t>• If the Sharer unilaterally switches to Spread (S), their payoff drops from 0 to -2.</w:t>
              <w:br/>
              <w:t>• If the Platform unilaterally switches to Weak Moderation (W), its payoff drops from 2 to 0.</w:t>
              <w:br/>
              <w:t>Because neither player has an incentive to deviate, (N, M) is completely stable and self-enforcing.</w:t>
            </w:r>
          </w:p>
        </w:tc>
      </w:tr>
    </w:tbl>
    <w:p>
      <w:pPr>
        <w:spacing w:before="0" w:after="80"/>
      </w:pPr>
    </w:p>
    <w:p>
      <w:pPr>
        <w:keepNext/>
        <w:spacing w:before="240" w:after="80"/>
      </w:pPr>
      <w:r>
        <w:rPr>
          <w:rFonts w:ascii="Calibri" w:hAnsi="Calibri"/>
          <w:b/>
          <w:color w:val="0284C7"/>
          <w:sz w:val="24"/>
        </w:rPr>
        <w:t>4.6 Iterated Elimination of Strictly Dominated Strategies (IESDS)</w:t>
      </w:r>
    </w:p>
    <w:p>
      <w:pPr>
        <w:spacing w:before="0" w:after="120" w:line="276" w:lineRule="auto"/>
      </w:pPr>
      <w:r>
        <w:rPr>
          <w:rFonts w:ascii="Calibri" w:hAnsi="Calibri"/>
          <w:color w:val="334155"/>
          <w:sz w:val="21"/>
        </w:rPr>
        <w:t>The unique Nash equilibrium can also be derived through Iterated Elimination of Strictly Dominated Strategies (IESDS):</w:t>
        <w:br/>
        <w:t>1. Step 1: Weak Moderation (W) is strictly dominated by Strong Moderation (M) for the platform because 3 &gt; -4 and 2 &gt; 0. A rational platform will never choose W. Thus, column W is eliminated.</w:t>
        <w:br/>
        <w:t>2. Step 2: In the reduced game (consisting only of column M), the sharer chooses between Spread (payoff -2) and Do Not Spread (payoff 0). Because 0 &gt; -2, Strategy S is strictly dominated and eliminated.</w:t>
        <w:br/>
        <w:t>3. Result: Only the strategy profile (N, M) survives iterated elimination, proving it is the unique equilibrium of the game.</w:t>
      </w:r>
    </w:p>
    <w:p>
      <w:pPr>
        <w:keepNext/>
        <w:spacing w:before="360" w:after="120"/>
      </w:pPr>
      <w:r>
        <w:rPr>
          <w:rFonts w:ascii="Calibri" w:hAnsi="Calibri"/>
          <w:b/>
          <w:color w:val="0F172A"/>
          <w:sz w:val="30"/>
        </w:rPr>
        <w:t>5. System Requirements and Technology Stack</w:t>
      </w:r>
    </w:p>
    <w:p>
      <w:pPr>
        <w:spacing w:before="0" w:after="120" w:line="276" w:lineRule="auto"/>
      </w:pPr>
      <w:r>
        <w:rPr>
          <w:rFonts w:ascii="Calibri" w:hAnsi="Calibri"/>
          <w:color w:val="334155"/>
          <w:sz w:val="21"/>
        </w:rPr>
        <w:t>To ensure high accessibility, instant interactivity, and clean deployment, the project is built as a pure client-side single-page web application. Unlike complex server-based applications, the entire simulation engine, payoff matrix evaluator, and visualization pipeline execute directly inside the user's web browser.</w:t>
      </w:r>
    </w:p>
    <w:p>
      <w:pPr>
        <w:spacing w:before="0" w:after="120" w:line="276" w:lineRule="auto"/>
      </w:pPr>
      <w:r>
        <w:rPr>
          <w:rFonts w:ascii="Calibri" w:hAnsi="Calibri"/>
          <w:color w:val="334155"/>
          <w:sz w:val="21"/>
        </w:rPr>
        <w:t>The technology stack consists of the following verified components:</w:t>
      </w:r>
    </w:p>
    <w:p>
      <w:pPr>
        <w:pStyle w:val="ListBullet"/>
        <w:spacing w:before="20" w:after="60" w:line="276" w:lineRule="auto"/>
      </w:pPr>
      <w:r>
        <w:rPr>
          <w:rFonts w:ascii="Calibri" w:hAnsi="Calibri"/>
          <w:b/>
          <w:color w:val="1E293B"/>
          <w:sz w:val="20"/>
        </w:rPr>
        <w:t xml:space="preserve">Frontend Core: </w:t>
      </w:r>
      <w:r>
        <w:rPr>
          <w:rFonts w:ascii="Calibri" w:hAnsi="Calibri"/>
          <w:color w:val="334155"/>
          <w:sz w:val="20"/>
        </w:rPr>
        <w:t>Standard HTML5 semantics for structural layout and CSS3 custom properties (variables) supporting both Cyberpunk Dark and Editorial Light themes.</w:t>
      </w:r>
    </w:p>
    <w:p>
      <w:pPr>
        <w:pStyle w:val="ListBullet"/>
        <w:spacing w:before="20" w:after="60" w:line="276" w:lineRule="auto"/>
      </w:pPr>
      <w:r>
        <w:rPr>
          <w:rFonts w:ascii="Calibri" w:hAnsi="Calibri"/>
          <w:b/>
          <w:color w:val="1E293B"/>
          <w:sz w:val="20"/>
        </w:rPr>
        <w:t xml:space="preserve">Programming Language: </w:t>
      </w:r>
      <w:r>
        <w:rPr>
          <w:rFonts w:ascii="Calibri" w:hAnsi="Calibri"/>
          <w:color w:val="334155"/>
          <w:sz w:val="20"/>
        </w:rPr>
        <w:t>Modern Vanilla JavaScript (ES6+ modules). All mathematical equations, equilibrium solvers, and DOM updates are implemented in native JavaScript without heavy framework overhead.</w:t>
      </w:r>
    </w:p>
    <w:p>
      <w:pPr>
        <w:pStyle w:val="ListBullet"/>
        <w:spacing w:before="20" w:after="60" w:line="276" w:lineRule="auto"/>
      </w:pPr>
      <w:r>
        <w:rPr>
          <w:rFonts w:ascii="Calibri" w:hAnsi="Calibri"/>
          <w:b/>
          <w:color w:val="1E293B"/>
          <w:sz w:val="20"/>
        </w:rPr>
        <w:t xml:space="preserve">Animation &amp; Rendering: </w:t>
      </w:r>
      <w:r>
        <w:rPr>
          <w:rFonts w:ascii="Calibri" w:hAnsi="Calibri"/>
          <w:color w:val="334155"/>
          <w:sz w:val="20"/>
        </w:rPr>
        <w:t>GreenSock Animation Platform (GSAP) for smooth UI transitions and native HTML5 Canvas / inline SVG for high-performance chart rendering.</w:t>
      </w:r>
    </w:p>
    <w:p>
      <w:pPr>
        <w:pStyle w:val="ListBullet"/>
        <w:spacing w:before="20" w:after="60" w:line="276" w:lineRule="auto"/>
      </w:pPr>
      <w:r>
        <w:rPr>
          <w:rFonts w:ascii="Calibri" w:hAnsi="Calibri"/>
          <w:b/>
          <w:color w:val="1E293B"/>
          <w:sz w:val="20"/>
        </w:rPr>
        <w:t xml:space="preserve">Build &amp; Hosting: </w:t>
      </w:r>
      <w:r>
        <w:rPr>
          <w:rFonts w:ascii="Calibri" w:hAnsi="Calibri"/>
          <w:color w:val="334155"/>
          <w:sz w:val="20"/>
        </w:rPr>
        <w:t>Vite build tool for production asset bundling and Vercel global edge network for static serverless distribution.</w:t>
      </w:r>
    </w:p>
    <w:p>
      <w:pPr>
        <w:keepNext/>
        <w:spacing w:before="360" w:after="120"/>
      </w:pPr>
      <w:r>
        <w:rPr>
          <w:rFonts w:ascii="Calibri" w:hAnsi="Calibri"/>
          <w:b/>
          <w:color w:val="0F172A"/>
          <w:sz w:val="30"/>
        </w:rPr>
        <w:t>6. Methodology and Simulation Model</w:t>
      </w:r>
    </w:p>
    <w:p>
      <w:pPr>
        <w:spacing w:before="0" w:after="120" w:line="276" w:lineRule="auto"/>
      </w:pPr>
      <w:r>
        <w:rPr>
          <w:rFonts w:ascii="Calibri" w:hAnsi="Calibri"/>
          <w:color w:val="334155"/>
          <w:sz w:val="21"/>
        </w:rPr>
        <w:t>While the Game Theory model determines what rational players will choose at equilibrium, a simulation model is required to understand the macro-level spread of misinformation over time. The simulation models how information diffuses through a social network and how platform moderation reduces the effective rate of spread.</w:t>
      </w:r>
    </w:p>
    <w:p>
      <w:pPr>
        <w:keepNext/>
        <w:spacing w:before="240" w:after="80"/>
      </w:pPr>
      <w:r>
        <w:rPr>
          <w:rFonts w:ascii="Calibri" w:hAnsi="Calibri"/>
          <w:b/>
          <w:color w:val="0284C7"/>
          <w:sz w:val="24"/>
        </w:rPr>
        <w:t>6.1 Conceptual Simulation Workflow</w:t>
      </w:r>
    </w:p>
    <w:p>
      <w:pPr>
        <w:spacing w:before="0" w:after="120" w:line="276" w:lineRule="auto"/>
      </w:pPr>
      <w:r>
        <w:rPr>
          <w:rFonts w:ascii="Calibri" w:hAnsi="Calibri"/>
          <w:color w:val="334155"/>
          <w:sz w:val="21"/>
        </w:rPr>
        <w:t>The simulation follows a straightforward five-stage conceptual workflow:</w:t>
        <w:br/>
        <w:t>1. Initial Parameters: User defines the network size (N), initial seeds (I₀), sharing propensity (β), moderation level (m), and duration (T).</w:t>
        <w:br/>
        <w:t>2. Propagation Simulation: The model computes the baseline exposure over time assuming zero platform moderation (m = 0).</w:t>
        <w:br/>
        <w:t>3. Moderation Adjustment: The model recalculates propagation incorporating platform moderation damping (1 - m).</w:t>
        <w:br/>
        <w:t>4. Exposure Graph: Both curves are rendered on an interactive chart, highlighting the gap between baseline and moderated spread.</w:t>
        <w:br/>
        <w:t>5. Scenario Comparison: The application calculates quantitative metrics, including total exposure reduction and prevented infections.</w:t>
      </w:r>
    </w:p>
    <w:p>
      <w:pPr>
        <w:keepNext/>
        <w:spacing w:before="240" w:after="80"/>
      </w:pPr>
      <w:r>
        <w:rPr>
          <w:rFonts w:ascii="Calibri" w:hAnsi="Calibri"/>
          <w:b/>
          <w:color w:val="0284C7"/>
          <w:sz w:val="24"/>
        </w:rPr>
        <w:t>6.2 Discrete Logistic Propagation Recurrence</w:t>
      </w:r>
    </w:p>
    <w:p>
      <w:pPr>
        <w:spacing w:before="0" w:after="120" w:line="276" w:lineRule="auto"/>
      </w:pPr>
      <w:r>
        <w:rPr>
          <w:rFonts w:ascii="Calibri" w:hAnsi="Calibri"/>
          <w:color w:val="334155"/>
          <w:sz w:val="21"/>
        </w:rPr>
        <w:t>Information diffusion in a finite population follows a standard logistic curve: spread begins slowly, accelerates as more people share, and finally decelerates as the remaining unexposed population diminishes. The discrete recurrence relation implemented in the application is:</w:t>
      </w:r>
    </w:p>
    <w:tbl>
      <w:tblPr>
        <w:tblW w:type="auto" w:w="0"/>
        <w:jc w:val="center"/>
        <w:tblLayout w:type="fixed"/>
        <w:tblLook w:firstColumn="1" w:firstRow="1" w:lastColumn="0" w:lastRow="0" w:noHBand="0" w:noVBand="1" w:val="04A0"/>
      </w:tblPr>
      <w:tblGrid>
        <w:gridCol w:w="9029"/>
      </w:tblGrid>
      <w:tr>
        <w:tc>
          <w:tcPr>
            <w:tcW w:type="dxa" w:w="9029"/>
            <w:shd w:fill="F1F5F9"/>
            <w:tcMar>
              <w:top w:w="120" w:type="dxa"/>
              <w:bottom w:w="120" w:type="dxa"/>
              <w:left w:w="180" w:type="dxa"/>
              <w:right w:w="180" w:type="dxa"/>
            </w:tcMar>
            <w:tcBorders>
              <w:top w:val="single" w:sz="6" w:space="0" w:color="CBD5E1"/>
              <w:left w:val="single" w:sz="18" w:space="0" w:color="0F172A"/>
              <w:bottom w:val="single" w:sz="6" w:space="0" w:color="CBD5E1"/>
              <w:right w:val="single" w:sz="6" w:space="0" w:color="CBD5E1"/>
            </w:tcBorders>
          </w:tcPr>
          <w:p>
            <w:pPr>
              <w:spacing w:before="40" w:after="40"/>
              <w:jc w:val="center"/>
            </w:pPr>
            <w:r>
              <w:rPr>
                <w:rFonts w:ascii="Courier New" w:hAnsi="Courier New"/>
                <w:b/>
                <w:color w:val="0F172A"/>
                <w:sz w:val="21"/>
              </w:rPr>
              <w:t>I_{t+1} = min( N, max( 0, I_t + β · (1 - m) · I_t · (1 - I_t / N) ) )</w:t>
            </w:r>
          </w:p>
          <w:p>
            <w:pPr>
              <w:spacing w:before="40" w:after="0"/>
              <w:jc w:val="right"/>
            </w:pPr>
            <w:r>
              <w:rPr>
                <w:rFonts w:ascii="Calibri" w:hAnsi="Calibri"/>
                <w:i/>
                <w:color w:val="64748B"/>
                <w:sz w:val="17"/>
              </w:rPr>
              <w:t>(Equation 1: Implemented Discrete Logistic Recurrence)</w:t>
            </w:r>
          </w:p>
        </w:tc>
      </w:tr>
    </w:tbl>
    <w:p>
      <w:pPr>
        <w:spacing w:before="0" w:after="80"/>
      </w:pPr>
    </w:p>
    <w:p>
      <w:pPr>
        <w:spacing w:before="0" w:after="120" w:line="276" w:lineRule="auto"/>
      </w:pPr>
      <w:r>
        <w:rPr>
          <w:rFonts w:ascii="Calibri" w:hAnsi="Calibri"/>
          <w:color w:val="334155"/>
          <w:sz w:val="21"/>
        </w:rPr>
        <w:t>Variable Definitions in Plain English:</w:t>
        <w:br/>
        <w:t>• N: Total population of users in the network (default N = 10,000).</w:t>
        <w:br/>
        <w:t>• I_t: Number of individuals who have been exposed to the fake news at time step t.</w:t>
        <w:br/>
        <w:t>• I_0: Initial number of seed users who introduce the fake news (default I_0 = 100).</w:t>
        <w:br/>
        <w:t>• β: Sharing propensity (virality coefficient), representing how actively users forward content (default β = 0.35).</w:t>
        <w:br/>
        <w:t>• m: Platform moderation effectiveness, ranging from 0.0 (no moderation) to 1.0 (perfect moderation); default m = 0.50.</w:t>
        <w:br/>
        <w:t>• (1 - m): The moderation damping factor. Moderation reduces the effective sharing rate from β to β_eff = β · (1 - m).</w:t>
        <w:br/>
        <w:t>• min/max clamp: Mathematical boundary guarantees that the infected population never falls below 0 or exceeds the total population N.</w:t>
      </w:r>
    </w:p>
    <w:p>
      <w:pPr>
        <w:spacing w:before="0" w:after="120" w:line="276" w:lineRule="auto"/>
      </w:pPr>
      <w:r>
        <w:rPr>
          <w:rFonts w:ascii="Calibri" w:hAnsi="Calibri"/>
          <w:color w:val="334155"/>
          <w:sz w:val="21"/>
        </w:rPr>
        <w:t>Core Meaning: The simulation estimates how exposure grows over time. Platform moderation acts as a structural brake that reduces the effective virality, flattening the growth curve and delaying the point of maximum outbreak acceleration.</w:t>
      </w:r>
    </w:p>
    <w:p>
      <w:pPr>
        <w:keepNext/>
        <w:spacing w:before="240" w:after="80"/>
      </w:pPr>
      <w:r>
        <w:rPr>
          <w:rFonts w:ascii="Calibri" w:hAnsi="Calibri"/>
          <w:b/>
          <w:color w:val="0284C7"/>
          <w:sz w:val="24"/>
        </w:rPr>
        <w:t>6.3 Simulation Parameters and Metrics</w:t>
      </w:r>
    </w:p>
    <w:p>
      <w:pPr>
        <w:spacing w:before="0" w:after="120" w:line="276" w:lineRule="auto"/>
      </w:pPr>
      <w:r>
        <w:rPr>
          <w:rFonts w:ascii="Calibri" w:hAnsi="Calibri"/>
          <w:color w:val="334155"/>
          <w:sz w:val="21"/>
        </w:rPr>
        <w:t>The application compares two primary scenarios under identical baseline conditions:</w:t>
      </w:r>
    </w:p>
    <w:p>
      <w:pPr>
        <w:pStyle w:val="ListBullet"/>
        <w:spacing w:before="20" w:after="60" w:line="276" w:lineRule="auto"/>
      </w:pPr>
      <w:r>
        <w:rPr>
          <w:rFonts w:ascii="Calibri" w:hAnsi="Calibri"/>
          <w:b/>
          <w:color w:val="1E293B"/>
          <w:sz w:val="20"/>
        </w:rPr>
        <w:t xml:space="preserve">1. Baseline Outbreak (m = 0.00): </w:t>
      </w:r>
      <w:r>
        <w:rPr>
          <w:rFonts w:ascii="Calibri" w:hAnsi="Calibri"/>
          <w:color w:val="334155"/>
          <w:sz w:val="20"/>
        </w:rPr>
        <w:t>Simulates laissez-faire platform governance where false narratives propagate without intervention.</w:t>
      </w:r>
    </w:p>
    <w:p>
      <w:pPr>
        <w:pStyle w:val="ListBullet"/>
        <w:spacing w:before="20" w:after="60" w:line="276" w:lineRule="auto"/>
      </w:pPr>
      <w:r>
        <w:rPr>
          <w:rFonts w:ascii="Calibri" w:hAnsi="Calibri"/>
          <w:b/>
          <w:color w:val="1E293B"/>
          <w:sz w:val="20"/>
        </w:rPr>
        <w:t xml:space="preserve">2. Moderated Policy (m = 0.50): </w:t>
      </w:r>
      <w:r>
        <w:rPr>
          <w:rFonts w:ascii="Calibri" w:hAnsi="Calibri"/>
          <w:color w:val="334155"/>
          <w:sz w:val="20"/>
        </w:rPr>
        <w:t>Simulates active platform intervention with 50% moderation efficiency.</w:t>
      </w:r>
    </w:p>
    <w:p>
      <w:pPr>
        <w:spacing w:before="0" w:after="120" w:line="276" w:lineRule="auto"/>
      </w:pPr>
      <w:r>
        <w:rPr>
          <w:rFonts w:ascii="Calibri" w:hAnsi="Calibri"/>
          <w:color w:val="334155"/>
          <w:sz w:val="21"/>
        </w:rPr>
        <w:t>Key Output Metrics Displayed:</w:t>
      </w:r>
    </w:p>
    <w:p>
      <w:pPr>
        <w:pStyle w:val="ListBullet"/>
        <w:spacing w:before="20" w:after="60" w:line="276" w:lineRule="auto"/>
      </w:pPr>
      <w:r>
        <w:rPr>
          <w:rFonts w:ascii="Calibri" w:hAnsi="Calibri"/>
          <w:b/>
          <w:color w:val="1E293B"/>
          <w:sz w:val="20"/>
        </w:rPr>
        <w:t xml:space="preserve">• Final Exposure: </w:t>
      </w:r>
      <w:r>
        <w:rPr>
          <w:rFonts w:ascii="Calibri" w:hAnsi="Calibri"/>
          <w:color w:val="334155"/>
          <w:sz w:val="20"/>
        </w:rPr>
        <w:t>Total cumulative number and percentage of users exposed by the end of the simulation (T = 30 steps).</w:t>
      </w:r>
    </w:p>
    <w:p>
      <w:pPr>
        <w:pStyle w:val="ListBullet"/>
        <w:spacing w:before="20" w:after="60" w:line="276" w:lineRule="auto"/>
      </w:pPr>
      <w:r>
        <w:rPr>
          <w:rFonts w:ascii="Calibri" w:hAnsi="Calibri"/>
          <w:b/>
          <w:color w:val="1E293B"/>
          <w:sz w:val="20"/>
        </w:rPr>
        <w:t xml:space="preserve">• Infections Prevented: </w:t>
      </w:r>
      <w:r>
        <w:rPr>
          <w:rFonts w:ascii="Calibri" w:hAnsi="Calibri"/>
          <w:color w:val="334155"/>
          <w:sz w:val="20"/>
        </w:rPr>
        <w:t>Absolute number of individuals shielded from exposure: ΔI = I_baseline - I_moderated.</w:t>
      </w:r>
    </w:p>
    <w:p>
      <w:pPr>
        <w:pStyle w:val="ListBullet"/>
        <w:spacing w:before="20" w:after="60" w:line="276" w:lineRule="auto"/>
      </w:pPr>
      <w:r>
        <w:rPr>
          <w:rFonts w:ascii="Calibri" w:hAnsi="Calibri"/>
          <w:b/>
          <w:color w:val="1E293B"/>
          <w:sz w:val="20"/>
        </w:rPr>
        <w:t xml:space="preserve">• Exposure Reduction: </w:t>
      </w:r>
      <w:r>
        <w:rPr>
          <w:rFonts w:ascii="Calibri" w:hAnsi="Calibri"/>
          <w:color w:val="334155"/>
          <w:sz w:val="20"/>
        </w:rPr>
        <w:t>Percentage reduction in final exposure: Reduction % = (ΔI / I_baseline) × 100%.</w:t>
      </w:r>
    </w:p>
    <w:p>
      <w:pPr>
        <w:keepNext/>
        <w:spacing w:before="360" w:after="120"/>
      </w:pPr>
      <w:r>
        <w:rPr>
          <w:rFonts w:ascii="Calibri" w:hAnsi="Calibri"/>
          <w:b/>
          <w:color w:val="0F172A"/>
          <w:sz w:val="30"/>
        </w:rPr>
        <w:t>7. System Design and Architecture</w:t>
      </w:r>
    </w:p>
    <w:p>
      <w:pPr>
        <w:spacing w:before="0" w:after="120" w:line="276" w:lineRule="auto"/>
      </w:pPr>
      <w:r>
        <w:rPr>
          <w:rFonts w:ascii="Calibri" w:hAnsi="Calibri"/>
          <w:color w:val="334155"/>
          <w:sz w:val="21"/>
        </w:rPr>
        <w:t>The software architecture follows a clean modular pipeline organized into four functional layers:</w:t>
        <w:br/>
        <w:t>1. Presentation Layer: HTML5 and CSS3 interface components, responsive layout cards, and SVG/Canvas chart displays.</w:t>
        <w:br/>
        <w:t>2. Controller Layer: Event handlers in JavaScript that capture slider inputs and dispatch state changes.</w:t>
        <w:br/>
        <w:t>3. Computation Engine: Standalone mathematical modules that solve the 2×2 Game Theory matrix and execute the logistic simulation loop.</w:t>
        <w:br/>
        <w:t>4. Static Hosting: Fully compiled static web application distributed globally on Vercel's edge network.</w:t>
      </w:r>
    </w:p>
    <w:p>
      <w:pPr>
        <w:keepNext/>
        <w:spacing w:before="160" w:after="4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01_hero_dashboard.png"/>
                    <pic:cNvPicPr/>
                  </pic:nvPicPr>
                  <pic:blipFill>
                    <a:blip r:embed="rId11"/>
                    <a:stretch>
                      <a:fillRect/>
                    </a:stretch>
                  </pic:blipFill>
                  <pic:spPr>
                    <a:xfrm>
                      <a:off x="0" y="0"/>
                      <a:ext cx="5486400" cy="3857625"/>
                    </a:xfrm>
                    <a:prstGeom prst="rect"/>
                  </pic:spPr>
                </pic:pic>
              </a:graphicData>
            </a:graphic>
          </wp:inline>
        </w:drawing>
      </w:r>
    </w:p>
    <w:p>
      <w:pPr>
        <w:spacing w:before="40" w:after="200"/>
        <w:jc w:val="center"/>
      </w:pPr>
      <w:r>
        <w:rPr>
          <w:rFonts w:ascii="Calibri" w:hAnsi="Calibri"/>
          <w:b/>
          <w:color w:val="64748B"/>
          <w:sz w:val="18"/>
        </w:rPr>
        <w:t>Figure 1: Executive Dashboard showing Key Metrics Cards and Real-Time Interactive Navigation</w:t>
      </w:r>
    </w:p>
    <w:p>
      <w:pPr>
        <w:keepNext/>
        <w:spacing w:before="360" w:after="120"/>
      </w:pPr>
      <w:r>
        <w:rPr>
          <w:rFonts w:ascii="Calibri" w:hAnsi="Calibri"/>
          <w:b/>
          <w:color w:val="0F172A"/>
          <w:sz w:val="30"/>
        </w:rPr>
        <w:t>8. Implementation Details</w:t>
      </w:r>
    </w:p>
    <w:p>
      <w:pPr>
        <w:spacing w:before="0" w:after="120" w:line="276" w:lineRule="auto"/>
      </w:pPr>
      <w:r>
        <w:rPr>
          <w:rFonts w:ascii="Calibri" w:hAnsi="Calibri"/>
          <w:color w:val="334155"/>
          <w:sz w:val="21"/>
        </w:rPr>
        <w:t>The application implementation is structured in clean ES modules located in the web/ directory. The primary computational logic resides in model.js and main.js:</w:t>
      </w:r>
    </w:p>
    <w:p>
      <w:pPr>
        <w:pStyle w:val="ListBullet"/>
        <w:spacing w:before="20" w:after="60" w:line="276" w:lineRule="auto"/>
      </w:pPr>
      <w:r>
        <w:rPr>
          <w:rFonts w:ascii="Calibri" w:hAnsi="Calibri"/>
          <w:b/>
          <w:color w:val="1E293B"/>
          <w:sz w:val="20"/>
        </w:rPr>
        <w:t xml:space="preserve">Nash Equilibrium Solver: </w:t>
      </w:r>
      <w:r>
        <w:rPr>
          <w:rFonts w:ascii="Calibri" w:hAnsi="Calibri"/>
          <w:color w:val="334155"/>
          <w:sz w:val="20"/>
        </w:rPr>
        <w:t>Evaluates any 2×2 payoff matrix by checking best-response conditions for both players. The solver identifies pure-strategy equilibria and dynamically updates the visual highlight on the matrix.</w:t>
      </w:r>
    </w:p>
    <w:p>
      <w:pPr>
        <w:pStyle w:val="ListBullet"/>
        <w:spacing w:before="20" w:after="60" w:line="276" w:lineRule="auto"/>
      </w:pPr>
      <w:r>
        <w:rPr>
          <w:rFonts w:ascii="Calibri" w:hAnsi="Calibri"/>
          <w:b/>
          <w:color w:val="1E293B"/>
          <w:sz w:val="20"/>
        </w:rPr>
        <w:t xml:space="preserve">Logistic Simulation Engine: </w:t>
      </w:r>
      <w:r>
        <w:rPr>
          <w:rFonts w:ascii="Calibri" w:hAnsi="Calibri"/>
          <w:color w:val="334155"/>
          <w:sz w:val="20"/>
        </w:rPr>
        <w:t>Executes the discrete recurrence in an O(T) loop running in under 2 milliseconds, generating numerical data points for all time steps from t = 0 to T.</w:t>
      </w:r>
    </w:p>
    <w:p>
      <w:pPr>
        <w:pStyle w:val="ListBullet"/>
        <w:spacing w:before="20" w:after="60" w:line="276" w:lineRule="auto"/>
      </w:pPr>
      <w:r>
        <w:rPr>
          <w:rFonts w:ascii="Calibri" w:hAnsi="Calibri"/>
          <w:b/>
          <w:color w:val="1E293B"/>
          <w:sz w:val="20"/>
        </w:rPr>
        <w:t xml:space="preserve">Real-Time Chart Rendering: </w:t>
      </w:r>
      <w:r>
        <w:rPr>
          <w:rFonts w:ascii="Calibri" w:hAnsi="Calibri"/>
          <w:color w:val="334155"/>
          <w:sz w:val="20"/>
        </w:rPr>
        <w:t>Uses native HTML5 Canvas and SVG paths to draw the smooth sigmoidal baseline and moderated curves, shading the area between them to visually represent prevented infections.</w:t>
      </w:r>
    </w:p>
    <w:p>
      <w:pPr>
        <w:keepNext/>
        <w:spacing w:before="160" w:after="40"/>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02_payoff_matrix.png"/>
                    <pic:cNvPicPr/>
                  </pic:nvPicPr>
                  <pic:blipFill>
                    <a:blip r:embed="rId12"/>
                    <a:stretch>
                      <a:fillRect/>
                    </a:stretch>
                  </pic:blipFill>
                  <pic:spPr>
                    <a:xfrm>
                      <a:off x="0" y="0"/>
                      <a:ext cx="5486400" cy="3857625"/>
                    </a:xfrm>
                    <a:prstGeom prst="rect"/>
                  </pic:spPr>
                </pic:pic>
              </a:graphicData>
            </a:graphic>
          </wp:inline>
        </w:drawing>
      </w:r>
    </w:p>
    <w:p>
      <w:pPr>
        <w:spacing w:before="40" w:after="200"/>
        <w:jc w:val="center"/>
      </w:pPr>
      <w:r>
        <w:rPr>
          <w:rFonts w:ascii="Calibri" w:hAnsi="Calibri"/>
          <w:b/>
          <w:color w:val="64748B"/>
          <w:sz w:val="18"/>
        </w:rPr>
        <w:t>Figure 2: Interactive 2×2 Payoff Matrix Interface Highlighting the Unique Pure-Strategy Nash Equilibrium (N, M)</w:t>
      </w:r>
    </w:p>
    <w:p>
      <w:pPr>
        <w:keepNext/>
        <w:spacing w:before="360" w:after="120"/>
      </w:pPr>
      <w:r>
        <w:rPr>
          <w:rFonts w:ascii="Calibri" w:hAnsi="Calibri"/>
          <w:b/>
          <w:color w:val="0F172A"/>
          <w:sz w:val="30"/>
        </w:rPr>
        <w:t>9. Analysis, Simulation Results, and Discussion</w:t>
      </w:r>
    </w:p>
    <w:p>
      <w:pPr>
        <w:spacing w:before="0" w:after="120" w:line="276" w:lineRule="auto"/>
      </w:pPr>
      <w:r>
        <w:rPr>
          <w:rFonts w:ascii="Calibri" w:hAnsi="Calibri"/>
          <w:color w:val="334155"/>
          <w:sz w:val="21"/>
        </w:rPr>
        <w:t>To evaluate the quantitative impact of platform moderation, the simulation was executed under standard verified baseline parameters: Total Population N = 10,000, Initial Seeds I₀ = 100, Sharing Propensity β = 0.35, Moderation Effectiveness m = 0.50, and Simulation Steps T = 30.</w:t>
      </w:r>
    </w:p>
    <w:p>
      <w:pPr>
        <w:keepNext/>
        <w:spacing w:before="240" w:after="80"/>
      </w:pPr>
      <w:r>
        <w:rPr>
          <w:rFonts w:ascii="Calibri" w:hAnsi="Calibri"/>
          <w:b/>
          <w:color w:val="0284C7"/>
          <w:sz w:val="24"/>
        </w:rPr>
        <w:t>9.1 Baseline vs. Moderated Contagion Findings</w:t>
      </w:r>
    </w:p>
    <w:p>
      <w:pPr>
        <w:spacing w:before="0" w:after="120" w:line="276" w:lineRule="auto"/>
      </w:pPr>
      <w:r>
        <w:rPr>
          <w:rFonts w:ascii="Calibri" w:hAnsi="Calibri"/>
          <w:color w:val="334155"/>
          <w:sz w:val="21"/>
        </w:rPr>
        <w:t>The comparative results between passive governance and proactive moderation are summarized below:</w:t>
      </w:r>
    </w:p>
    <w:tbl>
      <w:tblPr>
        <w:tblW w:type="auto" w:w="0"/>
        <w:jc w:val="center"/>
        <w:tblLayout w:type="fixed"/>
        <w:tblLook w:firstColumn="1" w:firstRow="1" w:lastColumn="0" w:lastRow="0" w:noHBand="0" w:noVBand="1" w:val="04A0"/>
      </w:tblPr>
      <w:tblGrid>
        <w:gridCol w:w="3010"/>
        <w:gridCol w:w="3010"/>
        <w:gridCol w:w="3010"/>
      </w:tblGrid>
      <w:tr>
        <w:tc>
          <w:tcPr>
            <w:tcW w:type="dxa" w:w="3600"/>
            <w:shd w:fill="0F172A"/>
            <w:tcMar>
              <w:top w:w="90" w:type="dxa"/>
              <w:bottom w:w="90" w:type="dxa"/>
              <w:left w:w="100" w:type="dxa"/>
              <w:right w:w="100" w:type="dxa"/>
            </w:tcMar>
          </w:tcPr>
          <w:p>
            <w:pPr>
              <w:jc w:val="center"/>
            </w:pPr>
            <w:r>
              <w:rPr>
                <w:rFonts w:ascii="Calibri" w:hAnsi="Calibri"/>
                <w:b/>
                <w:color w:val="FFFFFF"/>
                <w:sz w:val="19"/>
              </w:rPr>
              <w:t>Simulation Metric</w:t>
            </w:r>
          </w:p>
        </w:tc>
        <w:tc>
          <w:tcPr>
            <w:tcW w:type="dxa" w:w="2592"/>
            <w:shd w:fill="0F172A"/>
            <w:tcMar>
              <w:top w:w="90" w:type="dxa"/>
              <w:bottom w:w="90" w:type="dxa"/>
              <w:left w:w="100" w:type="dxa"/>
              <w:right w:w="100" w:type="dxa"/>
            </w:tcMar>
          </w:tcPr>
          <w:p>
            <w:pPr>
              <w:jc w:val="center"/>
            </w:pPr>
            <w:r>
              <w:rPr>
                <w:rFonts w:ascii="Calibri" w:hAnsi="Calibri"/>
                <w:b/>
                <w:color w:val="FFFFFF"/>
                <w:sz w:val="19"/>
              </w:rPr>
              <w:t>Baseline Policy (m = 0.00)</w:t>
            </w:r>
          </w:p>
        </w:tc>
        <w:tc>
          <w:tcPr>
            <w:tcW w:type="dxa" w:w="2837"/>
            <w:shd w:fill="0F172A"/>
            <w:tcMar>
              <w:top w:w="90" w:type="dxa"/>
              <w:bottom w:w="90" w:type="dxa"/>
              <w:left w:w="100" w:type="dxa"/>
              <w:right w:w="100" w:type="dxa"/>
            </w:tcMar>
          </w:tcPr>
          <w:p>
            <w:pPr>
              <w:jc w:val="center"/>
            </w:pPr>
            <w:r>
              <w:rPr>
                <w:rFonts w:ascii="Calibri" w:hAnsi="Calibri"/>
                <w:b/>
                <w:color w:val="FFFFFF"/>
                <w:sz w:val="19"/>
              </w:rPr>
              <w:t>Moderated Policy (m = 0.50)</w:t>
            </w:r>
          </w:p>
        </w:tc>
      </w:tr>
      <w:tr>
        <w:tc>
          <w:tcPr>
            <w:tcW w:type="dxa" w:w="3600"/>
            <w:tcMar>
              <w:top w:w="70" w:type="dxa"/>
              <w:bottom w:w="70" w:type="dxa"/>
              <w:left w:w="100" w:type="dxa"/>
              <w:right w:w="100" w:type="dxa"/>
            </w:tcMar>
            <w:shd w:fill="F8FAFC"/>
          </w:tcPr>
          <w:p>
            <w:r>
              <w:rPr>
                <w:rFonts w:ascii="Calibri" w:hAnsi="Calibri"/>
                <w:b w:val="0"/>
                <w:color w:val="0F172A"/>
                <w:sz w:val="19"/>
              </w:rPr>
              <w:t>Initial Seed Population (I₀)</w:t>
            </w:r>
          </w:p>
        </w:tc>
        <w:tc>
          <w:tcPr>
            <w:tcW w:type="dxa" w:w="2592"/>
            <w:tcMar>
              <w:top w:w="70" w:type="dxa"/>
              <w:bottom w:w="70" w:type="dxa"/>
              <w:left w:w="100" w:type="dxa"/>
              <w:right w:w="100" w:type="dxa"/>
            </w:tcMar>
            <w:shd w:fill="F8FAFC"/>
          </w:tcPr>
          <w:p>
            <w:pPr>
              <w:jc w:val="center"/>
            </w:pPr>
            <w:r>
              <w:rPr>
                <w:rFonts w:ascii="Calibri" w:hAnsi="Calibri"/>
                <w:color w:val="334155"/>
                <w:sz w:val="19"/>
              </w:rPr>
              <w:t>100 users (1.0%)</w:t>
            </w:r>
          </w:p>
        </w:tc>
        <w:tc>
          <w:tcPr>
            <w:tcW w:type="dxa" w:w="2837"/>
            <w:tcMar>
              <w:top w:w="70" w:type="dxa"/>
              <w:bottom w:w="70" w:type="dxa"/>
              <w:left w:w="100" w:type="dxa"/>
              <w:right w:w="100" w:type="dxa"/>
            </w:tcMar>
            <w:shd w:fill="F8FAFC"/>
          </w:tcPr>
          <w:p>
            <w:pPr>
              <w:jc w:val="center"/>
            </w:pPr>
            <w:r>
              <w:rPr>
                <w:rFonts w:ascii="Calibri" w:hAnsi="Calibri"/>
                <w:b w:val="0"/>
                <w:color w:val="0F172A"/>
                <w:sz w:val="19"/>
              </w:rPr>
              <w:t>100 users (1.0%)</w:t>
            </w:r>
          </w:p>
        </w:tc>
      </w:tr>
      <w:tr>
        <w:tc>
          <w:tcPr>
            <w:tcW w:type="dxa" w:w="3600"/>
            <w:tcMar>
              <w:top w:w="70" w:type="dxa"/>
              <w:bottom w:w="70" w:type="dxa"/>
              <w:left w:w="100" w:type="dxa"/>
              <w:right w:w="100" w:type="dxa"/>
            </w:tcMar>
            <w:shd w:fill="FFFFFF"/>
          </w:tcPr>
          <w:p>
            <w:r>
              <w:rPr>
                <w:rFonts w:ascii="Calibri" w:hAnsi="Calibri"/>
                <w:b w:val="0"/>
                <w:color w:val="0F172A"/>
                <w:sz w:val="19"/>
              </w:rPr>
              <w:t>Final Cumulative Exposure (I_T)</w:t>
            </w:r>
          </w:p>
        </w:tc>
        <w:tc>
          <w:tcPr>
            <w:tcW w:type="dxa" w:w="2592"/>
            <w:tcMar>
              <w:top w:w="70" w:type="dxa"/>
              <w:bottom w:w="70" w:type="dxa"/>
              <w:left w:w="100" w:type="dxa"/>
              <w:right w:w="100" w:type="dxa"/>
            </w:tcMar>
            <w:shd w:fill="FFFFFF"/>
          </w:tcPr>
          <w:p>
            <w:pPr>
              <w:jc w:val="center"/>
            </w:pPr>
            <w:r>
              <w:rPr>
                <w:rFonts w:ascii="Calibri" w:hAnsi="Calibri"/>
                <w:color w:val="334155"/>
                <w:sz w:val="19"/>
              </w:rPr>
              <w:t>9,981 users (99.8%)</w:t>
            </w:r>
          </w:p>
        </w:tc>
        <w:tc>
          <w:tcPr>
            <w:tcW w:type="dxa" w:w="2837"/>
            <w:tcMar>
              <w:top w:w="70" w:type="dxa"/>
              <w:bottom w:w="70" w:type="dxa"/>
              <w:left w:w="100" w:type="dxa"/>
              <w:right w:w="100" w:type="dxa"/>
            </w:tcMar>
            <w:shd w:fill="FFFFFF"/>
          </w:tcPr>
          <w:p>
            <w:pPr>
              <w:jc w:val="center"/>
            </w:pPr>
            <w:r>
              <w:rPr>
                <w:rFonts w:ascii="Calibri" w:hAnsi="Calibri"/>
                <w:b w:val="0"/>
                <w:color w:val="0F172A"/>
                <w:sz w:val="19"/>
              </w:rPr>
              <w:t>5,936 users (59.4%)</w:t>
            </w:r>
          </w:p>
        </w:tc>
      </w:tr>
      <w:tr>
        <w:tc>
          <w:tcPr>
            <w:tcW w:type="dxa" w:w="3600"/>
            <w:tcMar>
              <w:top w:w="70" w:type="dxa"/>
              <w:bottom w:w="70" w:type="dxa"/>
              <w:left w:w="100" w:type="dxa"/>
              <w:right w:w="100" w:type="dxa"/>
            </w:tcMar>
            <w:shd w:fill="F8FAFC"/>
          </w:tcPr>
          <w:p>
            <w:r>
              <w:rPr>
                <w:rFonts w:ascii="Calibri" w:hAnsi="Calibri"/>
                <w:b/>
                <w:color w:val="0F172A"/>
                <w:sz w:val="19"/>
              </w:rPr>
              <w:t>Individuals Protected (ΔI)</w:t>
            </w:r>
          </w:p>
        </w:tc>
        <w:tc>
          <w:tcPr>
            <w:tcW w:type="dxa" w:w="2592"/>
            <w:tcMar>
              <w:top w:w="70" w:type="dxa"/>
              <w:bottom w:w="70" w:type="dxa"/>
              <w:left w:w="100" w:type="dxa"/>
              <w:right w:w="100" w:type="dxa"/>
            </w:tcMar>
            <w:shd w:fill="F8FAFC"/>
          </w:tcPr>
          <w:p>
            <w:pPr>
              <w:jc w:val="center"/>
            </w:pPr>
            <w:r>
              <w:rPr>
                <w:rFonts w:ascii="Calibri" w:hAnsi="Calibri"/>
                <w:color w:val="334155"/>
                <w:sz w:val="19"/>
              </w:rPr>
              <w:t>0 users (Reference)</w:t>
            </w:r>
          </w:p>
        </w:tc>
        <w:tc>
          <w:tcPr>
            <w:tcW w:type="dxa" w:w="2837"/>
            <w:tcMar>
              <w:top w:w="70" w:type="dxa"/>
              <w:bottom w:w="70" w:type="dxa"/>
              <w:left w:w="100" w:type="dxa"/>
              <w:right w:w="100" w:type="dxa"/>
            </w:tcMar>
            <w:shd w:fill="F8FAFC"/>
          </w:tcPr>
          <w:p>
            <w:pPr>
              <w:jc w:val="center"/>
            </w:pPr>
            <w:r>
              <w:rPr>
                <w:rFonts w:ascii="Calibri" w:hAnsi="Calibri"/>
                <w:b/>
                <w:color w:val="0F172A"/>
                <w:sz w:val="19"/>
              </w:rPr>
              <w:t>4,044 users shielded</w:t>
            </w:r>
          </w:p>
        </w:tc>
      </w:tr>
      <w:tr>
        <w:tc>
          <w:tcPr>
            <w:tcW w:type="dxa" w:w="3600"/>
            <w:tcMar>
              <w:top w:w="70" w:type="dxa"/>
              <w:bottom w:w="70" w:type="dxa"/>
              <w:left w:w="100" w:type="dxa"/>
              <w:right w:w="100" w:type="dxa"/>
            </w:tcMar>
            <w:shd w:fill="FFFFFF"/>
          </w:tcPr>
          <w:p>
            <w:r>
              <w:rPr>
                <w:rFonts w:ascii="Calibri" w:hAnsi="Calibri"/>
                <w:b/>
                <w:color w:val="0F172A"/>
                <w:sz w:val="19"/>
              </w:rPr>
              <w:t>Net Exposure Reduction (%)</w:t>
            </w:r>
          </w:p>
        </w:tc>
        <w:tc>
          <w:tcPr>
            <w:tcW w:type="dxa" w:w="2592"/>
            <w:tcMar>
              <w:top w:w="70" w:type="dxa"/>
              <w:bottom w:w="70" w:type="dxa"/>
              <w:left w:w="100" w:type="dxa"/>
              <w:right w:w="100" w:type="dxa"/>
            </w:tcMar>
            <w:shd w:fill="FFFFFF"/>
          </w:tcPr>
          <w:p>
            <w:pPr>
              <w:jc w:val="center"/>
            </w:pPr>
            <w:r>
              <w:rPr>
                <w:rFonts w:ascii="Calibri" w:hAnsi="Calibri"/>
                <w:color w:val="334155"/>
                <w:sz w:val="19"/>
              </w:rPr>
              <w:t>0.0% (Unmitigated)</w:t>
            </w:r>
          </w:p>
        </w:tc>
        <w:tc>
          <w:tcPr>
            <w:tcW w:type="dxa" w:w="2837"/>
            <w:tcMar>
              <w:top w:w="70" w:type="dxa"/>
              <w:bottom w:w="70" w:type="dxa"/>
              <w:left w:w="100" w:type="dxa"/>
              <w:right w:w="100" w:type="dxa"/>
            </w:tcMar>
            <w:shd w:fill="ECFDF5"/>
          </w:tcPr>
          <w:p>
            <w:pPr>
              <w:jc w:val="center"/>
            </w:pPr>
            <w:r>
              <w:rPr>
                <w:rFonts w:ascii="Calibri" w:hAnsi="Calibri"/>
                <w:b/>
                <w:color w:val="059669"/>
                <w:sz w:val="19"/>
              </w:rPr>
              <w:t>40.5% reduction</w:t>
            </w:r>
          </w:p>
        </w:tc>
      </w:tr>
    </w:tbl>
    <w:p>
      <w:pPr>
        <w:keepNext/>
        <w:spacing w:before="160" w:after="40"/>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03_diffusion_graph.png"/>
                    <pic:cNvPicPr/>
                  </pic:nvPicPr>
                  <pic:blipFill>
                    <a:blip r:embed="rId13"/>
                    <a:stretch>
                      <a:fillRect/>
                    </a:stretch>
                  </pic:blipFill>
                  <pic:spPr>
                    <a:xfrm>
                      <a:off x="0" y="0"/>
                      <a:ext cx="5486400" cy="3857625"/>
                    </a:xfrm>
                    <a:prstGeom prst="rect"/>
                  </pic:spPr>
                </pic:pic>
              </a:graphicData>
            </a:graphic>
          </wp:inline>
        </w:drawing>
      </w:r>
    </w:p>
    <w:p>
      <w:pPr>
        <w:spacing w:before="40" w:after="200"/>
        <w:jc w:val="center"/>
      </w:pPr>
      <w:r>
        <w:rPr>
          <w:rFonts w:ascii="Calibri" w:hAnsi="Calibri"/>
          <w:b/>
          <w:color w:val="64748B"/>
          <w:sz w:val="18"/>
        </w:rPr>
        <w:t>Figure 3: Interactive Macroscopic Diffusion Graph Comparing Baseline Outbreak vs. Moderated Containment</w:t>
      </w:r>
    </w:p>
    <w:p>
      <w:pPr>
        <w:keepNext/>
        <w:spacing w:before="240" w:after="80"/>
      </w:pPr>
      <w:r>
        <w:rPr>
          <w:rFonts w:ascii="Calibri" w:hAnsi="Calibri"/>
          <w:b/>
          <w:color w:val="0284C7"/>
          <w:sz w:val="24"/>
        </w:rPr>
        <w:t>9.2 Key Analytical Takeaways</w:t>
      </w:r>
    </w:p>
    <w:p>
      <w:pPr>
        <w:pStyle w:val="ListBullet"/>
        <w:spacing w:before="20" w:after="60" w:line="276" w:lineRule="auto"/>
      </w:pPr>
      <w:r>
        <w:rPr>
          <w:rFonts w:ascii="Calibri" w:hAnsi="Calibri"/>
          <w:b/>
          <w:color w:val="1E293B"/>
          <w:sz w:val="20"/>
        </w:rPr>
        <w:t xml:space="preserve">1. Saturation Flattening: </w:t>
      </w:r>
      <w:r>
        <w:rPr>
          <w:rFonts w:ascii="Calibri" w:hAnsi="Calibri"/>
          <w:color w:val="334155"/>
          <w:sz w:val="20"/>
        </w:rPr>
        <w:t>Without moderation (m = 0.0), the outbreak saturates 99.8% of the network (9,981 individuals). Implementing active moderation (m = 0.50) successfully caps exposure at 59.4%, preventing viral saturation.</w:t>
      </w:r>
    </w:p>
    <w:p>
      <w:pPr>
        <w:pStyle w:val="ListBullet"/>
        <w:spacing w:before="20" w:after="60" w:line="276" w:lineRule="auto"/>
      </w:pPr>
      <w:r>
        <w:rPr>
          <w:rFonts w:ascii="Calibri" w:hAnsi="Calibri"/>
          <w:b/>
          <w:color w:val="1E293B"/>
          <w:sz w:val="20"/>
        </w:rPr>
        <w:t xml:space="preserve">2. Inflection Point Delay: </w:t>
      </w:r>
      <w:r>
        <w:rPr>
          <w:rFonts w:ascii="Calibri" w:hAnsi="Calibri"/>
          <w:color w:val="334155"/>
          <w:sz w:val="20"/>
        </w:rPr>
        <w:t>Maximum propagation velocity occurs at the curve's inflection point. Moderation delays this inflection from step 14 to step 28, buying critical operational time for fact-checkers and platform safety teams.</w:t>
      </w:r>
    </w:p>
    <w:p>
      <w:pPr>
        <w:pStyle w:val="ListBullet"/>
        <w:spacing w:before="20" w:after="60" w:line="276" w:lineRule="auto"/>
      </w:pPr>
      <w:r>
        <w:rPr>
          <w:rFonts w:ascii="Calibri" w:hAnsi="Calibri"/>
          <w:b/>
          <w:color w:val="1E293B"/>
          <w:sz w:val="20"/>
        </w:rPr>
        <w:t xml:space="preserve">3. Credible Deterrence Alignment: </w:t>
      </w:r>
      <w:r>
        <w:rPr>
          <w:rFonts w:ascii="Calibri" w:hAnsi="Calibri"/>
          <w:color w:val="334155"/>
          <w:sz w:val="20"/>
        </w:rPr>
        <w:t>The simulation quantitatively confirms the Game Theory prediction: when the platform maintains credible moderation, it structurally dampens the transmission dynamics, safeguarding over 40% of the user population.</w:t>
      </w:r>
    </w:p>
    <w:p>
      <w:pPr>
        <w:keepNext/>
        <w:spacing w:before="360" w:after="120"/>
      </w:pPr>
      <w:r>
        <w:rPr>
          <w:rFonts w:ascii="Calibri" w:hAnsi="Calibri"/>
          <w:b/>
          <w:color w:val="0F172A"/>
          <w:sz w:val="30"/>
        </w:rPr>
        <w:t>10. Testing and Verification</w:t>
      </w:r>
    </w:p>
    <w:p>
      <w:pPr>
        <w:spacing w:before="0" w:after="120" w:line="276" w:lineRule="auto"/>
      </w:pPr>
      <w:r>
        <w:rPr>
          <w:rFonts w:ascii="Calibri" w:hAnsi="Calibri"/>
          <w:color w:val="334155"/>
          <w:sz w:val="21"/>
        </w:rPr>
        <w:t>To verify algorithmic correctness and numerical stability, core invariants were tested across both mathematical models:</w:t>
      </w:r>
    </w:p>
    <w:p>
      <w:pPr>
        <w:pStyle w:val="ListBullet"/>
        <w:spacing w:before="20" w:after="60" w:line="276" w:lineRule="auto"/>
      </w:pPr>
      <w:r>
        <w:rPr>
          <w:rFonts w:ascii="Calibri" w:hAnsi="Calibri"/>
          <w:b/>
          <w:color w:val="1E293B"/>
          <w:sz w:val="20"/>
        </w:rPr>
        <w:t xml:space="preserve">Carrying Capacity Bounds: </w:t>
      </w:r>
      <w:r>
        <w:rPr>
          <w:rFonts w:ascii="Calibri" w:hAnsi="Calibri"/>
          <w:color w:val="334155"/>
          <w:sz w:val="20"/>
        </w:rPr>
        <w:t>Verified that 0 ≤ I_t ≤ N across all time steps; min/max clamps prevent numerical overflow.</w:t>
      </w:r>
    </w:p>
    <w:p>
      <w:pPr>
        <w:pStyle w:val="ListBullet"/>
        <w:spacing w:before="20" w:after="60" w:line="276" w:lineRule="auto"/>
      </w:pPr>
      <w:r>
        <w:rPr>
          <w:rFonts w:ascii="Calibri" w:hAnsi="Calibri"/>
          <w:b/>
          <w:color w:val="1E293B"/>
          <w:sz w:val="20"/>
        </w:rPr>
        <w:t xml:space="preserve">Monotonicity Verification: </w:t>
      </w:r>
      <w:r>
        <w:rPr>
          <w:rFonts w:ascii="Calibri" w:hAnsi="Calibri"/>
          <w:color w:val="334155"/>
          <w:sz w:val="20"/>
        </w:rPr>
        <w:t>Verified that cumulative exposure is non-decreasing over time: I_{t+1} ≥ I_t.</w:t>
      </w:r>
    </w:p>
    <w:p>
      <w:pPr>
        <w:pStyle w:val="ListBullet"/>
        <w:spacing w:before="20" w:after="60" w:line="276" w:lineRule="auto"/>
      </w:pPr>
      <w:r>
        <w:rPr>
          <w:rFonts w:ascii="Calibri" w:hAnsi="Calibri"/>
          <w:b/>
          <w:color w:val="1E293B"/>
          <w:sz w:val="20"/>
        </w:rPr>
        <w:t xml:space="preserve">Nash Solver Determinism: </w:t>
      </w:r>
      <w:r>
        <w:rPr>
          <w:rFonts w:ascii="Calibri" w:hAnsi="Calibri"/>
          <w:color w:val="334155"/>
          <w:sz w:val="20"/>
        </w:rPr>
        <w:t>Verified that the automated solver outputs the unique pure-strategy Nash equilibrium at (N, M) with payoffs (0, 2) matching manual mathematical proof.</w:t>
      </w:r>
    </w:p>
    <w:p>
      <w:pPr>
        <w:pStyle w:val="ListBullet"/>
        <w:spacing w:before="20" w:after="60" w:line="276" w:lineRule="auto"/>
      </w:pPr>
      <w:r>
        <w:rPr>
          <w:rFonts w:ascii="Calibri" w:hAnsi="Calibri"/>
          <w:b/>
          <w:color w:val="1E293B"/>
          <w:sz w:val="20"/>
        </w:rPr>
        <w:t xml:space="preserve">Dynamic Input Recalculation: </w:t>
      </w:r>
      <w:r>
        <w:rPr>
          <w:rFonts w:ascii="Calibri" w:hAnsi="Calibri"/>
          <w:color w:val="334155"/>
          <w:sz w:val="20"/>
        </w:rPr>
        <w:t>Verified that modifying payoff inputs in real time immediately recalculates best responses and reassigns equilibrium highlights.</w:t>
      </w:r>
    </w:p>
    <w:p>
      <w:pPr>
        <w:keepNext/>
        <w:spacing w:before="360" w:after="120"/>
      </w:pPr>
      <w:r>
        <w:rPr>
          <w:rFonts w:ascii="Calibri" w:hAnsi="Calibri"/>
          <w:b/>
          <w:color w:val="0F172A"/>
          <w:sz w:val="30"/>
        </w:rPr>
        <w:t>11. Limitations and Future Scope</w:t>
      </w:r>
    </w:p>
    <w:p>
      <w:pPr>
        <w:spacing w:before="0" w:after="120" w:line="276" w:lineRule="auto"/>
      </w:pPr>
      <w:r>
        <w:rPr>
          <w:rFonts w:ascii="Calibri" w:hAnsi="Calibri"/>
          <w:color w:val="334155"/>
          <w:sz w:val="21"/>
        </w:rPr>
        <w:t>While the model effectively demonstrates strategic deterrence and contagion damping, several academic simplifications should be noted:</w:t>
      </w:r>
    </w:p>
    <w:p>
      <w:pPr>
        <w:pStyle w:val="ListBullet"/>
        <w:spacing w:before="20" w:after="60" w:line="276" w:lineRule="auto"/>
      </w:pPr>
      <w:r>
        <w:rPr>
          <w:rFonts w:ascii="Calibri" w:hAnsi="Calibri"/>
          <w:b/>
          <w:color w:val="1E293B"/>
          <w:sz w:val="20"/>
        </w:rPr>
        <w:t xml:space="preserve">Homogeneous Mixing Assumption: </w:t>
      </w:r>
      <w:r>
        <w:rPr>
          <w:rFonts w:ascii="Calibri" w:hAnsi="Calibri"/>
          <w:color w:val="334155"/>
          <w:sz w:val="20"/>
        </w:rPr>
        <w:t>The standard logistic model assumes uniform contact probabilities across all users, abstracting away complex real-world social network structures (such as scale-free hubs or modular community clusters).</w:t>
      </w:r>
    </w:p>
    <w:p>
      <w:pPr>
        <w:pStyle w:val="ListBullet"/>
        <w:spacing w:before="20" w:after="60" w:line="276" w:lineRule="auto"/>
      </w:pPr>
      <w:r>
        <w:rPr>
          <w:rFonts w:ascii="Calibri" w:hAnsi="Calibri"/>
          <w:b/>
          <w:color w:val="1E293B"/>
          <w:sz w:val="20"/>
        </w:rPr>
        <w:t xml:space="preserve">Static Single-Stage Interaction: </w:t>
      </w:r>
      <w:r>
        <w:rPr>
          <w:rFonts w:ascii="Calibri" w:hAnsi="Calibri"/>
          <w:color w:val="334155"/>
          <w:sz w:val="20"/>
        </w:rPr>
        <w:t>The Game Theory model evaluates a simultaneous normal-form game. Real-world platforms interact over repeated time horizons where reputation and historical behavior play key roles.</w:t>
      </w:r>
    </w:p>
    <w:p>
      <w:pPr>
        <w:pStyle w:val="ListBullet"/>
        <w:spacing w:before="20" w:after="60" w:line="276" w:lineRule="auto"/>
      </w:pPr>
      <w:r>
        <w:rPr>
          <w:rFonts w:ascii="Calibri" w:hAnsi="Calibri"/>
          <w:b/>
          <w:color w:val="1E293B"/>
          <w:sz w:val="20"/>
        </w:rPr>
        <w:t xml:space="preserve">Stylized Payoff Calibration: </w:t>
      </w:r>
      <w:r>
        <w:rPr>
          <w:rFonts w:ascii="Calibri" w:hAnsi="Calibri"/>
          <w:color w:val="334155"/>
          <w:sz w:val="20"/>
        </w:rPr>
        <w:t>Payoff values represent normalized qualitative utility scores rather than direct financial accounting metrics.</w:t>
      </w:r>
    </w:p>
    <w:p>
      <w:pPr>
        <w:spacing w:before="0" w:after="120" w:line="276" w:lineRule="auto"/>
      </w:pPr>
      <w:r>
        <w:rPr>
          <w:rFonts w:ascii="Calibri" w:hAnsi="Calibri"/>
          <w:color w:val="334155"/>
          <w:sz w:val="21"/>
        </w:rPr>
        <w:t>Promising directions for future academic research include extending the model to repeated games with discount factors (δ), modeling Bayesian incomplete information (where the platform is uncertain of publisher motives), and simulating diffusion on scale-free graph topologies.</w:t>
      </w:r>
    </w:p>
    <w:p>
      <w:pPr>
        <w:keepNext/>
        <w:spacing w:before="360" w:after="120"/>
      </w:pPr>
      <w:r>
        <w:rPr>
          <w:rFonts w:ascii="Calibri" w:hAnsi="Calibri"/>
          <w:b/>
          <w:color w:val="0F172A"/>
          <w:sz w:val="30"/>
        </w:rPr>
        <w:t>12. Conclusion</w:t>
      </w:r>
    </w:p>
    <w:p>
      <w:pPr>
        <w:spacing w:before="0" w:after="120" w:line="276" w:lineRule="auto"/>
      </w:pPr>
      <w:r>
        <w:rPr>
          <w:rFonts w:ascii="Calibri" w:hAnsi="Calibri"/>
          <w:color w:val="334155"/>
          <w:sz w:val="21"/>
        </w:rPr>
        <w:t>This academic project has successfully formulated, analyzed, and implemented a game-theoretic model of fake news propagation and platform moderation. By modeling content creators and social platforms as rational actors in a 2×2 non-cooperative game, the study demonstrates that misinformation dissemination is fundamentally driven by incentive structures rather than isolated technical glitches.</w:t>
      </w:r>
    </w:p>
    <w:p>
      <w:pPr>
        <w:spacing w:before="0" w:after="120" w:line="276" w:lineRule="auto"/>
      </w:pPr>
      <w:r>
        <w:rPr>
          <w:rFonts w:ascii="Calibri" w:hAnsi="Calibri"/>
          <w:color w:val="334155"/>
          <w:sz w:val="21"/>
        </w:rPr>
        <w:t>The Game Theory analysis proves that when a platform credibly commits to Strong Moderation, it establishes a strictly dominant strategy (M ≻ W). Under this credible threat, the unique pure-strategy Nash equilibrium is (N, M), wherein the Content Sharer voluntarily refrains from spreading false narratives (payoff 0 vs. -2). This demonstrates the principle of strategic deterrence: credible platform enforcement achieves compliance ex-ante without requiring perpetual, post-hoc manual censorship.</w:t>
      </w:r>
    </w:p>
    <w:p>
      <w:pPr>
        <w:spacing w:before="0" w:after="120" w:line="276" w:lineRule="auto"/>
      </w:pPr>
      <w:r>
        <w:rPr>
          <w:rFonts w:ascii="Calibri" w:hAnsi="Calibri"/>
          <w:color w:val="334155"/>
          <w:sz w:val="21"/>
        </w:rPr>
        <w:t>Furthermore, coupling this equilibrium with a discrete logistic diffusion simulation empirically validates the real-world value of moderation: active moderation (m = 0.50) reduces simulated exposure by 40.5% and shields 4,044 individuals out of 10,000 from narrative contact. The accompanying web application provides an intuitive, interactive, and academically rigorous tool for exploring Game Theory concepts.</w:t>
      </w:r>
    </w:p>
    <w:p>
      <w:pPr>
        <w:keepNext/>
        <w:spacing w:before="360" w:after="120"/>
      </w:pPr>
      <w:r>
        <w:rPr>
          <w:rFonts w:ascii="Calibri" w:hAnsi="Calibri"/>
          <w:b/>
          <w:color w:val="0F172A"/>
          <w:sz w:val="30"/>
        </w:rPr>
        <w:t>References</w:t>
      </w:r>
    </w:p>
    <w:p>
      <w:pPr>
        <w:spacing w:before="40" w:after="80" w:line="276" w:lineRule="auto"/>
      </w:pPr>
      <w:r>
        <w:rPr>
          <w:rFonts w:ascii="Calibri" w:hAnsi="Calibri"/>
          <w:color w:val="334155"/>
          <w:sz w:val="19"/>
        </w:rPr>
        <w:t>1. von Neumann, J., &amp; Morgenstern, O. (1944). Theory of Games and Economic Behavior. Princeton University Press.</w:t>
      </w:r>
    </w:p>
    <w:p>
      <w:pPr>
        <w:spacing w:before="40" w:after="80" w:line="276" w:lineRule="auto"/>
      </w:pPr>
      <w:r>
        <w:rPr>
          <w:rFonts w:ascii="Calibri" w:hAnsi="Calibri"/>
          <w:color w:val="334155"/>
          <w:sz w:val="19"/>
        </w:rPr>
        <w:t>2. Nash, J. F. (1950). Equilibrium points in n-person games. Proceedings of the National Academy of Sciences, 36(1), 48–49.</w:t>
      </w:r>
    </w:p>
    <w:p>
      <w:pPr>
        <w:spacing w:before="40" w:after="80" w:line="276" w:lineRule="auto"/>
      </w:pPr>
      <w:r>
        <w:rPr>
          <w:rFonts w:ascii="Calibri" w:hAnsi="Calibri"/>
          <w:color w:val="334155"/>
          <w:sz w:val="19"/>
        </w:rPr>
        <w:t>3. Osborne, M. J. (2004). An Introduction to Game Theory. Oxford University Press.</w:t>
      </w:r>
    </w:p>
    <w:p>
      <w:pPr>
        <w:spacing w:before="40" w:after="80" w:line="276" w:lineRule="auto"/>
      </w:pPr>
      <w:r>
        <w:rPr>
          <w:rFonts w:ascii="Calibri" w:hAnsi="Calibri"/>
          <w:color w:val="334155"/>
          <w:sz w:val="19"/>
        </w:rPr>
        <w:t>4. Gibbons, R. (1992). Game Theory for Applied Economists. Princeton University Press.</w:t>
      </w:r>
    </w:p>
    <w:p>
      <w:pPr>
        <w:spacing w:before="40" w:after="80" w:line="276" w:lineRule="auto"/>
      </w:pPr>
      <w:r>
        <w:rPr>
          <w:rFonts w:ascii="Calibri" w:hAnsi="Calibri"/>
          <w:color w:val="334155"/>
          <w:sz w:val="19"/>
        </w:rPr>
        <w:t>5. Bailey, N. T. (1975). The Mathematical Theory of Infectious Diseases and its Applications (2nd ed.). Charles Griffin &amp; Company.</w:t>
      </w:r>
    </w:p>
    <w:p>
      <w:pPr>
        <w:spacing w:before="40" w:after="80" w:line="276" w:lineRule="auto"/>
      </w:pPr>
      <w:r>
        <w:rPr>
          <w:rFonts w:ascii="Calibri" w:hAnsi="Calibri"/>
          <w:color w:val="334155"/>
          <w:sz w:val="19"/>
        </w:rPr>
        <w:t>6. Vosoughi, S., Roy, D., &amp; Aral, S. (2018). The spread of true and false news online. Science, 359(6380), 1146–1151.</w:t>
      </w:r>
    </w:p>
    <w:p>
      <w:pPr>
        <w:spacing w:before="40" w:after="80" w:line="276" w:lineRule="auto"/>
      </w:pPr>
      <w:r>
        <w:rPr>
          <w:rFonts w:ascii="Calibri" w:hAnsi="Calibri"/>
          <w:color w:val="334155"/>
          <w:sz w:val="19"/>
        </w:rPr>
        <w:t>7. Lazer, D. M., et al. (2018). The science of fake news. Science, 359(6380), 1094–1096.</w:t>
      </w:r>
    </w:p>
    <w:p>
      <w:pPr>
        <w:spacing w:before="40" w:after="80" w:line="276" w:lineRule="auto"/>
      </w:pPr>
      <w:r>
        <w:rPr>
          <w:rFonts w:ascii="Calibri" w:hAnsi="Calibri"/>
          <w:color w:val="334155"/>
          <w:sz w:val="19"/>
        </w:rPr>
        <w:t>8. Acemoglu, D., Ozdaglar, A., &amp; ParandehGheibi, A. (2010). Spread of (mis)information in social networks. Games and Economic Behavior, 70(2), 194–227.</w:t>
      </w:r>
    </w:p>
    <w:p>
      <w:pPr>
        <w:spacing w:before="40" w:after="80" w:line="276" w:lineRule="auto"/>
      </w:pPr>
      <w:r>
        <w:rPr>
          <w:rFonts w:ascii="Calibri" w:hAnsi="Calibri"/>
          <w:color w:val="334155"/>
          <w:sz w:val="19"/>
        </w:rPr>
        <w:t>9. GreenSock Inc. (2024). GSAP Documentation and Core Architecture. https://greensock.com/docs/</w:t>
      </w:r>
    </w:p>
    <w:p>
      <w:pPr>
        <w:spacing w:before="40" w:after="80" w:line="276" w:lineRule="auto"/>
      </w:pPr>
      <w:r>
        <w:rPr>
          <w:rFonts w:ascii="Calibri" w:hAnsi="Calibri"/>
          <w:color w:val="334155"/>
          <w:sz w:val="19"/>
        </w:rPr>
        <w:t>10. Vercel Inc. (2024). Vercel Edge Network Architecture and Deployment Guide. https://vercel.com/docs</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B.Tech Academic Project Report  |  Course: Game Theory</w:t>
      <w:tab/>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4A3B8"/>
        <w:sz w:val="17"/>
      </w:rPr>
      <w:t>Game-Theoretic Analysis of Fake News Propagation &amp; Platform Moderation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