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Calibri" w:hAnsi="Calibri"/>
          <w:b/>
          <w:color w:val="0284C7"/>
          <w:sz w:val="20"/>
        </w:rPr>
        <w:t>B.TECH ACADEMIC PROJECT REPORT  ·  COURSE: GAME THEORY</w:t>
      </w:r>
    </w:p>
    <w:p>
      <w:pPr>
        <w:spacing w:before="720" w:after="200"/>
        <w:jc w:val="center"/>
      </w:pPr>
      <w:r>
        <w:rPr>
          <w:rFonts w:ascii="Georgia" w:hAnsi="Georgia"/>
          <w:b/>
          <w:color w:val="0F172A"/>
          <w:sz w:val="48"/>
        </w:rPr>
        <w:t>Game-Theoretic Analysis of Fake News Propagation</w:t>
        <w:br/>
        <w:t>and Platform Moderation Strategies</w:t>
      </w:r>
    </w:p>
    <w:p>
      <w:pPr>
        <w:spacing w:before="0" w:after="480"/>
        <w:jc w:val="center"/>
      </w:pPr>
      <w:r>
        <w:rPr>
          <w:rFonts w:ascii="Calibri" w:hAnsi="Calibri"/>
          <w:b/>
          <w:color w:val="0284C7"/>
          <w:sz w:val="26"/>
        </w:rPr>
        <w:t>Strategic Deterrence Modeling, Normal-Form Payoff Analysis, and Logistic Contagion Dynamics</w:t>
      </w:r>
    </w:p>
    <w:p>
      <w:pPr>
        <w:spacing w:before="120" w:after="600"/>
        <w:jc w:val="center"/>
      </w:pPr>
      <w:r>
        <w:rPr>
          <w:color w:val="CBD5E1"/>
        </w:rPr>
        <w:t>――――――――――――――――――――――――――――――――――――――――――――</w:t>
      </w:r>
    </w:p>
    <w:tbl>
      <w:tblPr>
        <w:tblW w:type="auto" w:w="0"/>
        <w:jc w:val="center"/>
        <w:tblLayout w:type="fixed"/>
        <w:tblLook w:firstColumn="1" w:firstRow="1" w:lastColumn="0" w:lastRow="0" w:noHBand="0" w:noVBand="1" w:val="04A0"/>
      </w:tblPr>
      <w:tblGrid>
        <w:gridCol w:w="4514"/>
        <w:gridCol w:w="4514"/>
      </w:tblGrid>
      <w:tr>
        <w:tc>
          <w:tcPr>
            <w:tcW w:type="dxa" w:w="4464"/>
            <w:tcMar>
              <w:top w:w="80" w:type="dxa"/>
              <w:bottom w:w="80" w:type="dxa"/>
              <w:left w:w="120" w:type="dxa"/>
              <w:right w:w="120" w:type="dxa"/>
            </w:tcMar>
          </w:tcPr>
          <w:p>
            <w:pPr>
              <w:spacing w:after="40"/>
            </w:pPr>
            <w:r>
              <w:rPr>
                <w:rFonts w:ascii="Calibri" w:hAnsi="Calibri"/>
                <w:b/>
                <w:color w:val="0284C7"/>
                <w:sz w:val="21"/>
              </w:rPr>
              <w:t>Submitted by:</w:t>
            </w:r>
          </w:p>
        </w:tc>
        <w:tc>
          <w:tcPr>
            <w:tcW w:type="dxa" w:w="4464"/>
            <w:tcMar>
              <w:top w:w="80" w:type="dxa"/>
              <w:bottom w:w="80" w:type="dxa"/>
              <w:left w:w="120" w:type="dxa"/>
              <w:right w:w="120" w:type="dxa"/>
            </w:tcMar>
          </w:tcPr>
          <w:p>
            <w:pPr>
              <w:spacing w:after="40"/>
            </w:pPr>
            <w:r>
              <w:rPr>
                <w:rFonts w:ascii="Calibri" w:hAnsi="Calibri"/>
                <w:b/>
                <w:color w:val="0284C7"/>
                <w:sz w:val="21"/>
              </w:rPr>
              <w:t>Project Evaluation Details:</w:t>
            </w:r>
          </w:p>
        </w:tc>
      </w:tr>
      <w:tr>
        <w:tc>
          <w:tcPr>
            <w:tcW w:type="dxa" w:w="4464"/>
            <w:tcMar>
              <w:top w:w="80" w:type="dxa"/>
              <w:bottom w:w="80" w:type="dxa"/>
              <w:left w:w="120" w:type="dxa"/>
              <w:right w:w="120" w:type="dxa"/>
            </w:tcMar>
          </w:tcPr>
          <w:p>
            <w:pPr>
              <w:spacing w:after="40"/>
            </w:pPr>
            <w:r>
              <w:rPr>
                <w:rFonts w:ascii="Calibri" w:hAnsi="Calibri"/>
                <w:color w:val="0F172A"/>
                <w:sz w:val="21"/>
              </w:rPr>
              <w:t>Shreshth Juneja</w:t>
              <w:br/>
              <w:t>Registration Number: 2427030246</w:t>
            </w:r>
          </w:p>
        </w:tc>
        <w:tc>
          <w:tcPr>
            <w:tcW w:type="dxa" w:w="4464"/>
            <w:tcMar>
              <w:top w:w="80" w:type="dxa"/>
              <w:bottom w:w="80" w:type="dxa"/>
              <w:left w:w="120" w:type="dxa"/>
              <w:right w:w="120" w:type="dxa"/>
            </w:tcMar>
          </w:tcPr>
          <w:p>
            <w:pPr>
              <w:spacing w:after="40"/>
            </w:pPr>
            <w:r>
              <w:rPr>
                <w:rFonts w:ascii="Calibri" w:hAnsi="Calibri"/>
                <w:color w:val="1E293B"/>
                <w:sz w:val="21"/>
              </w:rPr>
              <w:t>Department of Computer Science &amp; Engineering</w:t>
              <w:br/>
              <w:t>Faculty of Engineering &amp; Technology</w:t>
            </w:r>
          </w:p>
        </w:tc>
      </w:tr>
      <w:tr>
        <w:tc>
          <w:tcPr>
            <w:tcW w:type="dxa" w:w="4464"/>
            <w:tcMar>
              <w:top w:w="80" w:type="dxa"/>
              <w:bottom w:w="80" w:type="dxa"/>
              <w:left w:w="120" w:type="dxa"/>
              <w:right w:w="120" w:type="dxa"/>
            </w:tcMar>
          </w:tcPr>
          <w:p>
            <w:pPr>
              <w:spacing w:after="40"/>
            </w:pPr>
            <w:r>
              <w:rPr>
                <w:rFonts w:ascii="Calibri" w:hAnsi="Calibri"/>
                <w:color w:val="0F172A"/>
                <w:sz w:val="21"/>
              </w:rPr>
              <w:t>Devaanshee Agarwal</w:t>
              <w:br/>
              <w:t>Registration Number: 2427030504</w:t>
            </w:r>
          </w:p>
        </w:tc>
        <w:tc>
          <w:tcPr>
            <w:tcW w:type="dxa" w:w="4464"/>
            <w:tcMar>
              <w:top w:w="80" w:type="dxa"/>
              <w:bottom w:w="80" w:type="dxa"/>
              <w:left w:w="120" w:type="dxa"/>
              <w:right w:w="120" w:type="dxa"/>
            </w:tcMar>
          </w:tcPr>
          <w:p>
            <w:pPr>
              <w:spacing w:after="40"/>
            </w:pPr>
            <w:r>
              <w:rPr>
                <w:rFonts w:ascii="Calibri" w:hAnsi="Calibri"/>
                <w:color w:val="1E293B"/>
                <w:sz w:val="21"/>
              </w:rPr>
              <w:t>Course: Game Theory</w:t>
              <w:br/>
              <w:t>Academic Session: 2026–2027</w:t>
            </w:r>
          </w:p>
        </w:tc>
      </w:tr>
    </w:tbl>
    <w:p>
      <w:pPr>
        <w:spacing w:before="1600"/>
        <w:jc w:val="center"/>
      </w:pPr>
      <w:r>
        <w:rPr>
          <w:rFonts w:ascii="Calibri" w:hAnsi="Calibri"/>
          <w:color w:val="64748B"/>
          <w:sz w:val="18"/>
        </w:rPr>
        <w:t>Modern Web-Native Implementation: HTML5  ·  CSS3  ·  Vanilla JavaScript (ES6+)  ·  Vite  ·  GSAP  ·  Vercel</w:t>
      </w:r>
    </w:p>
    <w:p>
      <w:r>
        <w:br w:type="page"/>
      </w:r>
    </w:p>
    <w:p>
      <w:pPr>
        <w:keepNext/>
        <w:spacing w:before="360" w:after="120"/>
      </w:pPr>
      <w:r>
        <w:rPr>
          <w:rFonts w:ascii="Georgia" w:hAnsi="Georgia"/>
          <w:b/>
          <w:color w:val="0F172A"/>
          <w:sz w:val="32"/>
        </w:rPr>
        <w:t>Abstract</w:t>
      </w:r>
    </w:p>
    <w:p>
      <w:pPr>
        <w:spacing w:before="0" w:after="100" w:line="276" w:lineRule="auto"/>
      </w:pPr>
      <w:r>
        <w:rPr>
          <w:rFonts w:ascii="Calibri" w:hAnsi="Calibri"/>
          <w:color w:val="1E293B"/>
          <w:sz w:val="22"/>
        </w:rPr>
        <w:t>Digital misinformation and viral disinformation narratives represent critical informational security challenges in modern networked societies. This academic project formulates the strategic interaction between Content Sharers and Social Media Platforms as a finite, two-player, non-cooperative normal-form game, directly integrated with macroscopic epidemiological diffusion modeling. A 2×2 payoff matrix encapsulates the strategic trade-offs between a malicious sharer's virality payoffs and a platform's institutional reputation and moderation enforcement overhead. Analytical game-theoretic evaluation is conducted using best-response mappings, strictly dominant strategy identification, and Iterated Elimination of Strictly Dominated Strategies (IESDS). Under standard course baseline utility parameters, the platform holds a strictly dominant strategy in Strong Moderation (M), leading rational content sharers to select Do Not Spread (N), locking in a unique, strictly self-enforcing pure-strategy Nash equilibrium at (N, M) with payoffs (0, 2). To evaluate the macroscopic epidemic consequences of strategic choices, the framework couples the game with a discrete-time non-linear logistic exposure recurrence. Simulating a network of N = 10,000 individuals over 30 observation steps reveals that an active moderation policy of effectiveness m = 0.50 constrains cumulative exposure to 5,936 individuals, preventing 4,044 infections compared to an unmitigated baseline saturation of 9,981 individuals (a 40.5% exposure reduction). The project is implemented as an interactive, zero-backend single-page web dashboard using HTML5, CSS3 with high-contrast dual-theme support, Vanilla JavaScript, and Vite, configured for instant edge deployment on Vercel. The utility matrices and contagion equations serve as transparent pedagogical models for educational analysis rather than predictive real-world financial or behavioral forecasts.</w:t>
      </w:r>
    </w:p>
    <w:p>
      <w:pPr>
        <w:spacing w:after="120"/>
      </w:pPr>
    </w:p>
    <w:p>
      <w:pPr>
        <w:keepNext/>
        <w:spacing w:before="360" w:after="120"/>
      </w:pPr>
      <w:r>
        <w:rPr>
          <w:rFonts w:ascii="Georgia" w:hAnsi="Georgia"/>
          <w:b/>
          <w:color w:val="0F172A"/>
          <w:sz w:val="32"/>
        </w:rPr>
        <w:t>Table of Contents</w:t>
      </w:r>
    </w:p>
    <w:tbl>
      <w:tblPr>
        <w:tblW w:type="auto" w:w="0"/>
        <w:jc w:val="center"/>
        <w:tblLayout w:type="fixed"/>
        <w:tblLook w:firstColumn="1" w:firstRow="1" w:lastColumn="0" w:lastRow="0" w:noHBand="0" w:noVBand="1" w:val="04A0"/>
      </w:tblPr>
      <w:tblGrid>
        <w:gridCol w:w="4514"/>
        <w:gridCol w:w="4514"/>
      </w:tblGrid>
      <w:tr>
        <w:tc>
          <w:tcPr>
            <w:tcW w:type="dxa" w:w="7632"/>
            <w:tcMar>
              <w:top w:w="30" w:type="dxa"/>
              <w:bottom w:w="30" w:type="dxa"/>
              <w:left w:w="60" w:type="dxa"/>
              <w:right w:w="60" w:type="dxa"/>
            </w:tcMar>
          </w:tcPr>
          <w:p>
            <w:pPr>
              <w:spacing w:after="20"/>
            </w:pPr>
            <w:r>
              <w:rPr>
                <w:rFonts w:ascii="Calibri" w:hAnsi="Calibri"/>
                <w:b/>
                <w:color w:val="0F172A"/>
                <w:sz w:val="20"/>
              </w:rPr>
              <w:t>1. Introduction</w:t>
            </w:r>
          </w:p>
        </w:tc>
        <w:tc>
          <w:tcPr>
            <w:tcW w:type="dxa" w:w="1296"/>
            <w:tcMar>
              <w:top w:w="30" w:type="dxa"/>
              <w:bottom w:w="30" w:type="dxa"/>
              <w:left w:w="60" w:type="dxa"/>
              <w:right w:w="60" w:type="dxa"/>
            </w:tcMar>
          </w:tcPr>
          <w:p>
            <w:pPr>
              <w:spacing w:after="20"/>
              <w:jc w:val="right"/>
            </w:pPr>
            <w:r>
              <w:rPr>
                <w:rFonts w:ascii="Calibri" w:hAnsi="Calibri"/>
                <w:color w:val="64748B"/>
                <w:sz w:val="20"/>
              </w:rPr>
              <w:t>2</w:t>
            </w:r>
          </w:p>
        </w:tc>
      </w:tr>
      <w:tr>
        <w:tc>
          <w:tcPr>
            <w:tcW w:type="dxa" w:w="7632"/>
            <w:tcMar>
              <w:top w:w="30" w:type="dxa"/>
              <w:bottom w:w="30" w:type="dxa"/>
              <w:left w:w="60" w:type="dxa"/>
              <w:right w:w="60" w:type="dxa"/>
            </w:tcMar>
          </w:tcPr>
          <w:p>
            <w:pPr>
              <w:spacing w:after="20"/>
            </w:pPr>
            <w:r>
              <w:rPr>
                <w:rFonts w:ascii="Calibri" w:hAnsi="Calibri"/>
                <w:b/>
                <w:color w:val="0F172A"/>
                <w:sz w:val="20"/>
              </w:rPr>
              <w:t>2. Problem Statement</w:t>
            </w:r>
          </w:p>
        </w:tc>
        <w:tc>
          <w:tcPr>
            <w:tcW w:type="dxa" w:w="1296"/>
            <w:tcMar>
              <w:top w:w="30" w:type="dxa"/>
              <w:bottom w:w="30" w:type="dxa"/>
              <w:left w:w="60" w:type="dxa"/>
              <w:right w:w="60" w:type="dxa"/>
            </w:tcMar>
          </w:tcPr>
          <w:p>
            <w:pPr>
              <w:spacing w:after="20"/>
              <w:jc w:val="right"/>
            </w:pPr>
            <w:r>
              <w:rPr>
                <w:rFonts w:ascii="Calibri" w:hAnsi="Calibri"/>
                <w:color w:val="64748B"/>
                <w:sz w:val="20"/>
              </w:rPr>
              <w:t>2</w:t>
            </w:r>
          </w:p>
        </w:tc>
      </w:tr>
      <w:tr>
        <w:tc>
          <w:tcPr>
            <w:tcW w:type="dxa" w:w="7632"/>
            <w:tcMar>
              <w:top w:w="30" w:type="dxa"/>
              <w:bottom w:w="30" w:type="dxa"/>
              <w:left w:w="60" w:type="dxa"/>
              <w:right w:w="60" w:type="dxa"/>
            </w:tcMar>
          </w:tcPr>
          <w:p>
            <w:pPr>
              <w:spacing w:after="20"/>
            </w:pPr>
            <w:r>
              <w:rPr>
                <w:rFonts w:ascii="Calibri" w:hAnsi="Calibri"/>
                <w:b/>
                <w:color w:val="0F172A"/>
                <w:sz w:val="20"/>
              </w:rPr>
              <w:t>3. Objectives and Scope</w:t>
            </w:r>
          </w:p>
        </w:tc>
        <w:tc>
          <w:tcPr>
            <w:tcW w:type="dxa" w:w="1296"/>
            <w:tcMar>
              <w:top w:w="30" w:type="dxa"/>
              <w:bottom w:w="30" w:type="dxa"/>
              <w:left w:w="60" w:type="dxa"/>
              <w:right w:w="60" w:type="dxa"/>
            </w:tcMar>
          </w:tcPr>
          <w:p>
            <w:pPr>
              <w:spacing w:after="20"/>
              <w:jc w:val="right"/>
            </w:pPr>
            <w:r>
              <w:rPr>
                <w:rFonts w:ascii="Calibri" w:hAnsi="Calibri"/>
                <w:color w:val="64748B"/>
                <w:sz w:val="20"/>
              </w:rPr>
              <w:t>3</w:t>
            </w:r>
          </w:p>
        </w:tc>
      </w:tr>
      <w:tr>
        <w:tc>
          <w:tcPr>
            <w:tcW w:type="dxa" w:w="7632"/>
            <w:tcMar>
              <w:top w:w="30" w:type="dxa"/>
              <w:bottom w:w="30" w:type="dxa"/>
              <w:left w:w="60" w:type="dxa"/>
              <w:right w:w="60" w:type="dxa"/>
            </w:tcMar>
          </w:tcPr>
          <w:p>
            <w:pPr>
              <w:spacing w:after="20"/>
            </w:pPr>
            <w:r>
              <w:rPr>
                <w:rFonts w:ascii="Calibri" w:hAnsi="Calibri"/>
                <w:b/>
                <w:color w:val="0F172A"/>
                <w:sz w:val="20"/>
              </w:rPr>
              <w:t>4. Background and Game Theory</w:t>
            </w:r>
          </w:p>
        </w:tc>
        <w:tc>
          <w:tcPr>
            <w:tcW w:type="dxa" w:w="1296"/>
            <w:tcMar>
              <w:top w:w="30" w:type="dxa"/>
              <w:bottom w:w="30" w:type="dxa"/>
              <w:left w:w="60" w:type="dxa"/>
              <w:right w:w="60" w:type="dxa"/>
            </w:tcMar>
          </w:tcPr>
          <w:p>
            <w:pPr>
              <w:spacing w:after="20"/>
              <w:jc w:val="right"/>
            </w:pPr>
            <w:r>
              <w:rPr>
                <w:rFonts w:ascii="Calibri" w:hAnsi="Calibri"/>
                <w:color w:val="64748B"/>
                <w:sz w:val="20"/>
              </w:rPr>
              <w:t>3</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4.1 Basic Game Theory Concepts</w:t>
            </w:r>
          </w:p>
        </w:tc>
        <w:tc>
          <w:tcPr>
            <w:tcW w:type="dxa" w:w="1296"/>
            <w:tcMar>
              <w:top w:w="30" w:type="dxa"/>
              <w:bottom w:w="30" w:type="dxa"/>
              <w:left w:w="60" w:type="dxa"/>
              <w:right w:w="60" w:type="dxa"/>
            </w:tcMar>
          </w:tcPr>
          <w:p>
            <w:pPr>
              <w:spacing w:after="20"/>
              <w:jc w:val="right"/>
            </w:pPr>
            <w:r>
              <w:rPr>
                <w:rFonts w:ascii="Calibri" w:hAnsi="Calibri"/>
                <w:color w:val="64748B"/>
                <w:sz w:val="20"/>
              </w:rPr>
              <w:t>3</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4.2 Players and Available Strategies</w:t>
            </w:r>
          </w:p>
        </w:tc>
        <w:tc>
          <w:tcPr>
            <w:tcW w:type="dxa" w:w="1296"/>
            <w:tcMar>
              <w:top w:w="30" w:type="dxa"/>
              <w:bottom w:w="30" w:type="dxa"/>
              <w:left w:w="60" w:type="dxa"/>
              <w:right w:w="60" w:type="dxa"/>
            </w:tcMar>
          </w:tcPr>
          <w:p>
            <w:pPr>
              <w:spacing w:after="20"/>
              <w:jc w:val="right"/>
            </w:pPr>
            <w:r>
              <w:rPr>
                <w:rFonts w:ascii="Calibri" w:hAnsi="Calibri"/>
                <w:color w:val="64748B"/>
                <w:sz w:val="20"/>
              </w:rPr>
              <w:t>4</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4.3 Payoff Matrix Formulation</w:t>
            </w:r>
          </w:p>
        </w:tc>
        <w:tc>
          <w:tcPr>
            <w:tcW w:type="dxa" w:w="1296"/>
            <w:tcMar>
              <w:top w:w="30" w:type="dxa"/>
              <w:bottom w:w="30" w:type="dxa"/>
              <w:left w:w="60" w:type="dxa"/>
              <w:right w:w="60" w:type="dxa"/>
            </w:tcMar>
          </w:tcPr>
          <w:p>
            <w:pPr>
              <w:spacing w:after="20"/>
              <w:jc w:val="right"/>
            </w:pPr>
            <w:r>
              <w:rPr>
                <w:rFonts w:ascii="Calibri" w:hAnsi="Calibri"/>
                <w:color w:val="64748B"/>
                <w:sz w:val="20"/>
              </w:rPr>
              <w:t>4</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4.4 Best Responses and Dominant Strategies</w:t>
            </w:r>
          </w:p>
        </w:tc>
        <w:tc>
          <w:tcPr>
            <w:tcW w:type="dxa" w:w="1296"/>
            <w:tcMar>
              <w:top w:w="30" w:type="dxa"/>
              <w:bottom w:w="30" w:type="dxa"/>
              <w:left w:w="60" w:type="dxa"/>
              <w:right w:w="60" w:type="dxa"/>
            </w:tcMar>
          </w:tcPr>
          <w:p>
            <w:pPr>
              <w:spacing w:after="20"/>
              <w:jc w:val="right"/>
            </w:pPr>
            <w:r>
              <w:rPr>
                <w:rFonts w:ascii="Calibri" w:hAnsi="Calibri"/>
                <w:color w:val="64748B"/>
                <w:sz w:val="20"/>
              </w:rPr>
              <w:t>5</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4.5 Pure-Strategy Nash Equilibrium</w:t>
            </w:r>
          </w:p>
        </w:tc>
        <w:tc>
          <w:tcPr>
            <w:tcW w:type="dxa" w:w="1296"/>
            <w:tcMar>
              <w:top w:w="30" w:type="dxa"/>
              <w:bottom w:w="30" w:type="dxa"/>
              <w:left w:w="60" w:type="dxa"/>
              <w:right w:w="60" w:type="dxa"/>
            </w:tcMar>
          </w:tcPr>
          <w:p>
            <w:pPr>
              <w:spacing w:after="20"/>
              <w:jc w:val="right"/>
            </w:pPr>
            <w:r>
              <w:rPr>
                <w:rFonts w:ascii="Calibri" w:hAnsi="Calibri"/>
                <w:color w:val="64748B"/>
                <w:sz w:val="20"/>
              </w:rPr>
              <w:t>5</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4.6 Iterated Elimination of Strictly Dominated Strategies (IESDS)</w:t>
            </w:r>
          </w:p>
        </w:tc>
        <w:tc>
          <w:tcPr>
            <w:tcW w:type="dxa" w:w="1296"/>
            <w:tcMar>
              <w:top w:w="30" w:type="dxa"/>
              <w:bottom w:w="30" w:type="dxa"/>
              <w:left w:w="60" w:type="dxa"/>
              <w:right w:w="60" w:type="dxa"/>
            </w:tcMar>
          </w:tcPr>
          <w:p>
            <w:pPr>
              <w:spacing w:after="20"/>
              <w:jc w:val="right"/>
            </w:pPr>
            <w:r>
              <w:rPr>
                <w:rFonts w:ascii="Calibri" w:hAnsi="Calibri"/>
                <w:color w:val="64748B"/>
                <w:sz w:val="20"/>
              </w:rPr>
              <w:t>6</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4.7 Strategic Equilibrium Versus Social Outcome</w:t>
            </w:r>
          </w:p>
        </w:tc>
        <w:tc>
          <w:tcPr>
            <w:tcW w:type="dxa" w:w="1296"/>
            <w:tcMar>
              <w:top w:w="30" w:type="dxa"/>
              <w:bottom w:w="30" w:type="dxa"/>
              <w:left w:w="60" w:type="dxa"/>
              <w:right w:w="60" w:type="dxa"/>
            </w:tcMar>
          </w:tcPr>
          <w:p>
            <w:pPr>
              <w:spacing w:after="20"/>
              <w:jc w:val="right"/>
            </w:pPr>
            <w:r>
              <w:rPr>
                <w:rFonts w:ascii="Calibri" w:hAnsi="Calibri"/>
                <w:color w:val="64748B"/>
                <w:sz w:val="20"/>
              </w:rPr>
              <w:t>6</w:t>
            </w:r>
          </w:p>
        </w:tc>
      </w:tr>
      <w:tr>
        <w:tc>
          <w:tcPr>
            <w:tcW w:type="dxa" w:w="7632"/>
            <w:tcMar>
              <w:top w:w="30" w:type="dxa"/>
              <w:bottom w:w="30" w:type="dxa"/>
              <w:left w:w="60" w:type="dxa"/>
              <w:right w:w="60" w:type="dxa"/>
            </w:tcMar>
          </w:tcPr>
          <w:p>
            <w:pPr>
              <w:spacing w:after="20"/>
            </w:pPr>
            <w:r>
              <w:rPr>
                <w:rFonts w:ascii="Calibri" w:hAnsi="Calibri"/>
                <w:b/>
                <w:color w:val="0F172A"/>
                <w:sz w:val="20"/>
              </w:rPr>
              <w:t>5. System Requirements and Architecture Stack</w:t>
            </w:r>
          </w:p>
        </w:tc>
        <w:tc>
          <w:tcPr>
            <w:tcW w:type="dxa" w:w="1296"/>
            <w:tcMar>
              <w:top w:w="30" w:type="dxa"/>
              <w:bottom w:w="30" w:type="dxa"/>
              <w:left w:w="60" w:type="dxa"/>
              <w:right w:w="60" w:type="dxa"/>
            </w:tcMar>
          </w:tcPr>
          <w:p>
            <w:pPr>
              <w:spacing w:after="20"/>
              <w:jc w:val="right"/>
            </w:pPr>
            <w:r>
              <w:rPr>
                <w:rFonts w:ascii="Calibri" w:hAnsi="Calibri"/>
                <w:color w:val="64748B"/>
                <w:sz w:val="20"/>
              </w:rPr>
              <w:t>7</w:t>
            </w:r>
          </w:p>
        </w:tc>
      </w:tr>
      <w:tr>
        <w:tc>
          <w:tcPr>
            <w:tcW w:type="dxa" w:w="7632"/>
            <w:tcMar>
              <w:top w:w="30" w:type="dxa"/>
              <w:bottom w:w="30" w:type="dxa"/>
              <w:left w:w="60" w:type="dxa"/>
              <w:right w:w="60" w:type="dxa"/>
            </w:tcMar>
          </w:tcPr>
          <w:p>
            <w:pPr>
              <w:spacing w:after="20"/>
            </w:pPr>
            <w:r>
              <w:rPr>
                <w:rFonts w:ascii="Calibri" w:hAnsi="Calibri"/>
                <w:b/>
                <w:color w:val="0F172A"/>
                <w:sz w:val="20"/>
              </w:rPr>
              <w:t>6. Methodology and Mathematical Model</w:t>
            </w:r>
          </w:p>
        </w:tc>
        <w:tc>
          <w:tcPr>
            <w:tcW w:type="dxa" w:w="1296"/>
            <w:tcMar>
              <w:top w:w="30" w:type="dxa"/>
              <w:bottom w:w="30" w:type="dxa"/>
              <w:left w:w="60" w:type="dxa"/>
              <w:right w:w="60" w:type="dxa"/>
            </w:tcMar>
          </w:tcPr>
          <w:p>
            <w:pPr>
              <w:spacing w:after="20"/>
              <w:jc w:val="right"/>
            </w:pPr>
            <w:r>
              <w:rPr>
                <w:rFonts w:ascii="Calibri" w:hAnsi="Calibri"/>
                <w:color w:val="64748B"/>
                <w:sz w:val="20"/>
              </w:rPr>
              <w:t>7</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6.1 Overall Methodology Workflow</w:t>
            </w:r>
          </w:p>
        </w:tc>
        <w:tc>
          <w:tcPr>
            <w:tcW w:type="dxa" w:w="1296"/>
            <w:tcMar>
              <w:top w:w="30" w:type="dxa"/>
              <w:bottom w:w="30" w:type="dxa"/>
              <w:left w:w="60" w:type="dxa"/>
              <w:right w:w="60" w:type="dxa"/>
            </w:tcMar>
          </w:tcPr>
          <w:p>
            <w:pPr>
              <w:spacing w:after="20"/>
              <w:jc w:val="right"/>
            </w:pPr>
            <w:r>
              <w:rPr>
                <w:rFonts w:ascii="Calibri" w:hAnsi="Calibri"/>
                <w:color w:val="64748B"/>
                <w:sz w:val="20"/>
              </w:rPr>
              <w:t>7</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6.2 Strategic Game Formulation</w:t>
            </w:r>
          </w:p>
        </w:tc>
        <w:tc>
          <w:tcPr>
            <w:tcW w:type="dxa" w:w="1296"/>
            <w:tcMar>
              <w:top w:w="30" w:type="dxa"/>
              <w:bottom w:w="30" w:type="dxa"/>
              <w:left w:w="60" w:type="dxa"/>
              <w:right w:w="60" w:type="dxa"/>
            </w:tcMar>
          </w:tcPr>
          <w:p>
            <w:pPr>
              <w:spacing w:after="20"/>
              <w:jc w:val="right"/>
            </w:pPr>
            <w:r>
              <w:rPr>
                <w:rFonts w:ascii="Calibri" w:hAnsi="Calibri"/>
                <w:color w:val="64748B"/>
                <w:sz w:val="20"/>
              </w:rPr>
              <w:t>8</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6.3 Discrete Logistic Fake-News Propagation Model</w:t>
            </w:r>
          </w:p>
        </w:tc>
        <w:tc>
          <w:tcPr>
            <w:tcW w:type="dxa" w:w="1296"/>
            <w:tcMar>
              <w:top w:w="30" w:type="dxa"/>
              <w:bottom w:w="30" w:type="dxa"/>
              <w:left w:w="60" w:type="dxa"/>
              <w:right w:w="60" w:type="dxa"/>
            </w:tcMar>
          </w:tcPr>
          <w:p>
            <w:pPr>
              <w:spacing w:after="20"/>
              <w:jc w:val="right"/>
            </w:pPr>
            <w:r>
              <w:rPr>
                <w:rFonts w:ascii="Calibri" w:hAnsi="Calibri"/>
                <w:color w:val="64748B"/>
                <w:sz w:val="20"/>
              </w:rPr>
              <w:t>8</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6.4 Quantitative Evaluation Metrics</w:t>
            </w:r>
          </w:p>
        </w:tc>
        <w:tc>
          <w:tcPr>
            <w:tcW w:type="dxa" w:w="1296"/>
            <w:tcMar>
              <w:top w:w="30" w:type="dxa"/>
              <w:bottom w:w="30" w:type="dxa"/>
              <w:left w:w="60" w:type="dxa"/>
              <w:right w:w="60" w:type="dxa"/>
            </w:tcMar>
          </w:tcPr>
          <w:p>
            <w:pPr>
              <w:spacing w:after="20"/>
              <w:jc w:val="right"/>
            </w:pPr>
            <w:r>
              <w:rPr>
                <w:rFonts w:ascii="Calibri" w:hAnsi="Calibri"/>
                <w:color w:val="64748B"/>
                <w:sz w:val="20"/>
              </w:rPr>
              <w:t>9</w:t>
            </w:r>
          </w:p>
        </w:tc>
      </w:tr>
      <w:tr>
        <w:tc>
          <w:tcPr>
            <w:tcW w:type="dxa" w:w="7632"/>
            <w:tcMar>
              <w:top w:w="30" w:type="dxa"/>
              <w:bottom w:w="30" w:type="dxa"/>
              <w:left w:w="60" w:type="dxa"/>
              <w:right w:w="60" w:type="dxa"/>
            </w:tcMar>
          </w:tcPr>
          <w:p>
            <w:pPr>
              <w:spacing w:after="20"/>
            </w:pPr>
            <w:r>
              <w:rPr>
                <w:rFonts w:ascii="Calibri" w:hAnsi="Calibri"/>
                <w:color w:val="334155"/>
                <w:sz w:val="20"/>
              </w:rPr>
              <w:t xml:space="preserve">    6.5 Coupling Between Game Theory and Simulation</w:t>
            </w:r>
          </w:p>
        </w:tc>
        <w:tc>
          <w:tcPr>
            <w:tcW w:type="dxa" w:w="1296"/>
            <w:tcMar>
              <w:top w:w="30" w:type="dxa"/>
              <w:bottom w:w="30" w:type="dxa"/>
              <w:left w:w="60" w:type="dxa"/>
              <w:right w:w="60" w:type="dxa"/>
            </w:tcMar>
          </w:tcPr>
          <w:p>
            <w:pPr>
              <w:spacing w:after="20"/>
              <w:jc w:val="right"/>
            </w:pPr>
            <w:r>
              <w:rPr>
                <w:rFonts w:ascii="Calibri" w:hAnsi="Calibri"/>
                <w:color w:val="64748B"/>
                <w:sz w:val="20"/>
              </w:rPr>
              <w:t>9</w:t>
            </w:r>
          </w:p>
        </w:tc>
      </w:tr>
      <w:tr>
        <w:tc>
          <w:tcPr>
            <w:tcW w:type="dxa" w:w="7632"/>
            <w:tcMar>
              <w:top w:w="30" w:type="dxa"/>
              <w:bottom w:w="30" w:type="dxa"/>
              <w:left w:w="60" w:type="dxa"/>
              <w:right w:w="60" w:type="dxa"/>
            </w:tcMar>
          </w:tcPr>
          <w:p>
            <w:pPr>
              <w:spacing w:after="20"/>
            </w:pPr>
            <w:r>
              <w:rPr>
                <w:rFonts w:ascii="Calibri" w:hAnsi="Calibri"/>
                <w:b/>
                <w:color w:val="0F172A"/>
                <w:sz w:val="20"/>
              </w:rPr>
              <w:t>7. System Design</w:t>
            </w:r>
          </w:p>
        </w:tc>
        <w:tc>
          <w:tcPr>
            <w:tcW w:type="dxa" w:w="1296"/>
            <w:tcMar>
              <w:top w:w="30" w:type="dxa"/>
              <w:bottom w:w="30" w:type="dxa"/>
              <w:left w:w="60" w:type="dxa"/>
              <w:right w:w="60" w:type="dxa"/>
            </w:tcMar>
          </w:tcPr>
          <w:p>
            <w:pPr>
              <w:spacing w:after="20"/>
              <w:jc w:val="right"/>
            </w:pPr>
            <w:r>
              <w:rPr>
                <w:rFonts w:ascii="Calibri" w:hAnsi="Calibri"/>
                <w:color w:val="64748B"/>
                <w:sz w:val="20"/>
              </w:rPr>
              <w:t>10</w:t>
            </w:r>
          </w:p>
        </w:tc>
      </w:tr>
      <w:tr>
        <w:tc>
          <w:tcPr>
            <w:tcW w:type="dxa" w:w="7632"/>
            <w:tcMar>
              <w:top w:w="30" w:type="dxa"/>
              <w:bottom w:w="30" w:type="dxa"/>
              <w:left w:w="60" w:type="dxa"/>
              <w:right w:w="60" w:type="dxa"/>
            </w:tcMar>
          </w:tcPr>
          <w:p>
            <w:pPr>
              <w:spacing w:after="20"/>
            </w:pPr>
            <w:r>
              <w:rPr>
                <w:rFonts w:ascii="Calibri" w:hAnsi="Calibri"/>
                <w:b/>
                <w:color w:val="0F172A"/>
                <w:sz w:val="20"/>
              </w:rPr>
              <w:t>8. Implementation Details</w:t>
            </w:r>
          </w:p>
        </w:tc>
        <w:tc>
          <w:tcPr>
            <w:tcW w:type="dxa" w:w="1296"/>
            <w:tcMar>
              <w:top w:w="30" w:type="dxa"/>
              <w:bottom w:w="30" w:type="dxa"/>
              <w:left w:w="60" w:type="dxa"/>
              <w:right w:w="60" w:type="dxa"/>
            </w:tcMar>
          </w:tcPr>
          <w:p>
            <w:pPr>
              <w:spacing w:after="20"/>
              <w:jc w:val="right"/>
            </w:pPr>
            <w:r>
              <w:rPr>
                <w:rFonts w:ascii="Calibri" w:hAnsi="Calibri"/>
                <w:color w:val="64748B"/>
                <w:sz w:val="20"/>
              </w:rPr>
              <w:t>10</w:t>
            </w:r>
          </w:p>
        </w:tc>
      </w:tr>
      <w:tr>
        <w:tc>
          <w:tcPr>
            <w:tcW w:type="dxa" w:w="7632"/>
            <w:tcMar>
              <w:top w:w="30" w:type="dxa"/>
              <w:bottom w:w="30" w:type="dxa"/>
              <w:left w:w="60" w:type="dxa"/>
              <w:right w:w="60" w:type="dxa"/>
            </w:tcMar>
          </w:tcPr>
          <w:p>
            <w:pPr>
              <w:spacing w:after="20"/>
            </w:pPr>
            <w:r>
              <w:rPr>
                <w:rFonts w:ascii="Calibri" w:hAnsi="Calibri"/>
                <w:b/>
                <w:color w:val="0F172A"/>
                <w:sz w:val="20"/>
              </w:rPr>
              <w:t>9. Analysis, Simulation Results, and Experimental Findings</w:t>
            </w:r>
          </w:p>
        </w:tc>
        <w:tc>
          <w:tcPr>
            <w:tcW w:type="dxa" w:w="1296"/>
            <w:tcMar>
              <w:top w:w="30" w:type="dxa"/>
              <w:bottom w:w="30" w:type="dxa"/>
              <w:left w:w="60" w:type="dxa"/>
              <w:right w:w="60" w:type="dxa"/>
            </w:tcMar>
          </w:tcPr>
          <w:p>
            <w:pPr>
              <w:spacing w:after="20"/>
              <w:jc w:val="right"/>
            </w:pPr>
            <w:r>
              <w:rPr>
                <w:rFonts w:ascii="Calibri" w:hAnsi="Calibri"/>
                <w:color w:val="64748B"/>
                <w:sz w:val="20"/>
              </w:rPr>
              <w:t>12</w:t>
            </w:r>
          </w:p>
        </w:tc>
      </w:tr>
      <w:tr>
        <w:tc>
          <w:tcPr>
            <w:tcW w:type="dxa" w:w="7632"/>
            <w:tcMar>
              <w:top w:w="30" w:type="dxa"/>
              <w:bottom w:w="30" w:type="dxa"/>
              <w:left w:w="60" w:type="dxa"/>
              <w:right w:w="60" w:type="dxa"/>
            </w:tcMar>
          </w:tcPr>
          <w:p>
            <w:pPr>
              <w:spacing w:after="20"/>
            </w:pPr>
            <w:r>
              <w:rPr>
                <w:rFonts w:ascii="Calibri" w:hAnsi="Calibri"/>
                <w:b/>
                <w:color w:val="0F172A"/>
                <w:sz w:val="20"/>
              </w:rPr>
              <w:t>10. Testing, Verification, and Validation</w:t>
            </w:r>
          </w:p>
        </w:tc>
        <w:tc>
          <w:tcPr>
            <w:tcW w:type="dxa" w:w="1296"/>
            <w:tcMar>
              <w:top w:w="30" w:type="dxa"/>
              <w:bottom w:w="30" w:type="dxa"/>
              <w:left w:w="60" w:type="dxa"/>
              <w:right w:w="60" w:type="dxa"/>
            </w:tcMar>
          </w:tcPr>
          <w:p>
            <w:pPr>
              <w:spacing w:after="20"/>
              <w:jc w:val="right"/>
            </w:pPr>
            <w:r>
              <w:rPr>
                <w:rFonts w:ascii="Calibri" w:hAnsi="Calibri"/>
                <w:color w:val="64748B"/>
                <w:sz w:val="20"/>
              </w:rPr>
              <w:t>14</w:t>
            </w:r>
          </w:p>
        </w:tc>
      </w:tr>
      <w:tr>
        <w:tc>
          <w:tcPr>
            <w:tcW w:type="dxa" w:w="7632"/>
            <w:tcMar>
              <w:top w:w="30" w:type="dxa"/>
              <w:bottom w:w="30" w:type="dxa"/>
              <w:left w:w="60" w:type="dxa"/>
              <w:right w:w="60" w:type="dxa"/>
            </w:tcMar>
          </w:tcPr>
          <w:p>
            <w:pPr>
              <w:spacing w:after="20"/>
            </w:pPr>
            <w:r>
              <w:rPr>
                <w:rFonts w:ascii="Calibri" w:hAnsi="Calibri"/>
                <w:b/>
                <w:color w:val="0F172A"/>
                <w:sz w:val="20"/>
              </w:rPr>
              <w:t>11. Limitations and Future Scope</w:t>
            </w:r>
          </w:p>
        </w:tc>
        <w:tc>
          <w:tcPr>
            <w:tcW w:type="dxa" w:w="1296"/>
            <w:tcMar>
              <w:top w:w="30" w:type="dxa"/>
              <w:bottom w:w="30" w:type="dxa"/>
              <w:left w:w="60" w:type="dxa"/>
              <w:right w:w="60" w:type="dxa"/>
            </w:tcMar>
          </w:tcPr>
          <w:p>
            <w:pPr>
              <w:spacing w:after="20"/>
              <w:jc w:val="right"/>
            </w:pPr>
            <w:r>
              <w:rPr>
                <w:rFonts w:ascii="Calibri" w:hAnsi="Calibri"/>
                <w:color w:val="64748B"/>
                <w:sz w:val="20"/>
              </w:rPr>
              <w:t>14</w:t>
            </w:r>
          </w:p>
        </w:tc>
      </w:tr>
      <w:tr>
        <w:tc>
          <w:tcPr>
            <w:tcW w:type="dxa" w:w="7632"/>
            <w:tcMar>
              <w:top w:w="30" w:type="dxa"/>
              <w:bottom w:w="30" w:type="dxa"/>
              <w:left w:w="60" w:type="dxa"/>
              <w:right w:w="60" w:type="dxa"/>
            </w:tcMar>
          </w:tcPr>
          <w:p>
            <w:pPr>
              <w:spacing w:after="20"/>
            </w:pPr>
            <w:r>
              <w:rPr>
                <w:rFonts w:ascii="Calibri" w:hAnsi="Calibri"/>
                <w:b/>
                <w:color w:val="0F172A"/>
                <w:sz w:val="20"/>
              </w:rPr>
              <w:t>12. Conclusion</w:t>
            </w:r>
          </w:p>
        </w:tc>
        <w:tc>
          <w:tcPr>
            <w:tcW w:type="dxa" w:w="1296"/>
            <w:tcMar>
              <w:top w:w="30" w:type="dxa"/>
              <w:bottom w:w="30" w:type="dxa"/>
              <w:left w:w="60" w:type="dxa"/>
              <w:right w:w="60" w:type="dxa"/>
            </w:tcMar>
          </w:tcPr>
          <w:p>
            <w:pPr>
              <w:spacing w:after="20"/>
              <w:jc w:val="right"/>
            </w:pPr>
            <w:r>
              <w:rPr>
                <w:rFonts w:ascii="Calibri" w:hAnsi="Calibri"/>
                <w:color w:val="64748B"/>
                <w:sz w:val="20"/>
              </w:rPr>
              <w:t>15</w:t>
            </w:r>
          </w:p>
        </w:tc>
      </w:tr>
      <w:tr>
        <w:tc>
          <w:tcPr>
            <w:tcW w:type="dxa" w:w="7632"/>
            <w:tcMar>
              <w:top w:w="30" w:type="dxa"/>
              <w:bottom w:w="30" w:type="dxa"/>
              <w:left w:w="60" w:type="dxa"/>
              <w:right w:w="60" w:type="dxa"/>
            </w:tcMar>
          </w:tcPr>
          <w:p>
            <w:pPr>
              <w:spacing w:after="20"/>
            </w:pPr>
            <w:r>
              <w:rPr>
                <w:rFonts w:ascii="Calibri" w:hAnsi="Calibri"/>
                <w:b/>
                <w:color w:val="0F172A"/>
                <w:sz w:val="20"/>
              </w:rPr>
              <w:t>References</w:t>
            </w:r>
          </w:p>
        </w:tc>
        <w:tc>
          <w:tcPr>
            <w:tcW w:type="dxa" w:w="1296"/>
            <w:tcMar>
              <w:top w:w="30" w:type="dxa"/>
              <w:bottom w:w="30" w:type="dxa"/>
              <w:left w:w="60" w:type="dxa"/>
              <w:right w:w="60" w:type="dxa"/>
            </w:tcMar>
          </w:tcPr>
          <w:p>
            <w:pPr>
              <w:spacing w:after="20"/>
              <w:jc w:val="right"/>
            </w:pPr>
            <w:r>
              <w:rPr>
                <w:rFonts w:ascii="Calibri" w:hAnsi="Calibri"/>
                <w:color w:val="64748B"/>
                <w:sz w:val="20"/>
              </w:rPr>
              <w:t>16</w:t>
            </w:r>
          </w:p>
        </w:tc>
      </w:tr>
      <w:tr>
        <w:tc>
          <w:tcPr>
            <w:tcW w:type="dxa" w:w="7632"/>
            <w:tcMar>
              <w:top w:w="30" w:type="dxa"/>
              <w:bottom w:w="30" w:type="dxa"/>
              <w:left w:w="60" w:type="dxa"/>
              <w:right w:w="60" w:type="dxa"/>
            </w:tcMar>
          </w:tcPr>
          <w:p>
            <w:pPr>
              <w:spacing w:after="20"/>
            </w:pPr>
            <w:r>
              <w:rPr>
                <w:rFonts w:ascii="Calibri" w:hAnsi="Calibri"/>
                <w:b/>
                <w:color w:val="0F172A"/>
                <w:sz w:val="20"/>
              </w:rPr>
              <w:t>Appendix A: Running the Application Locally and Vercel Deployment</w:t>
            </w:r>
          </w:p>
        </w:tc>
        <w:tc>
          <w:tcPr>
            <w:tcW w:type="dxa" w:w="1296"/>
            <w:tcMar>
              <w:top w:w="30" w:type="dxa"/>
              <w:bottom w:w="30" w:type="dxa"/>
              <w:left w:w="60" w:type="dxa"/>
              <w:right w:w="60" w:type="dxa"/>
            </w:tcMar>
          </w:tcPr>
          <w:p>
            <w:pPr>
              <w:spacing w:after="20"/>
              <w:jc w:val="right"/>
            </w:pPr>
            <w:r>
              <w:rPr>
                <w:rFonts w:ascii="Calibri" w:hAnsi="Calibri"/>
                <w:color w:val="64748B"/>
                <w:sz w:val="20"/>
              </w:rPr>
              <w:t>17</w:t>
            </w:r>
          </w:p>
        </w:tc>
      </w:tr>
      <w:tr>
        <w:tc>
          <w:tcPr>
            <w:tcW w:type="dxa" w:w="7632"/>
            <w:tcMar>
              <w:top w:w="30" w:type="dxa"/>
              <w:bottom w:w="30" w:type="dxa"/>
              <w:left w:w="60" w:type="dxa"/>
              <w:right w:w="60" w:type="dxa"/>
            </w:tcMar>
          </w:tcPr>
          <w:p>
            <w:pPr>
              <w:spacing w:after="20"/>
            </w:pPr>
            <w:r>
              <w:rPr>
                <w:rFonts w:ascii="Calibri" w:hAnsi="Calibri"/>
                <w:b/>
                <w:color w:val="0F172A"/>
                <w:sz w:val="20"/>
              </w:rPr>
              <w:t>Appendix B: Verified Application Screenshots</w:t>
            </w:r>
          </w:p>
        </w:tc>
        <w:tc>
          <w:tcPr>
            <w:tcW w:type="dxa" w:w="1296"/>
            <w:tcMar>
              <w:top w:w="30" w:type="dxa"/>
              <w:bottom w:w="30" w:type="dxa"/>
              <w:left w:w="60" w:type="dxa"/>
              <w:right w:w="60" w:type="dxa"/>
            </w:tcMar>
          </w:tcPr>
          <w:p>
            <w:pPr>
              <w:spacing w:after="20"/>
              <w:jc w:val="right"/>
            </w:pPr>
            <w:r>
              <w:rPr>
                <w:rFonts w:ascii="Calibri" w:hAnsi="Calibri"/>
                <w:color w:val="64748B"/>
                <w:sz w:val="20"/>
              </w:rPr>
              <w:t>18</w:t>
            </w:r>
          </w:p>
        </w:tc>
      </w:tr>
    </w:tbl>
    <w:p>
      <w:r>
        <w:br w:type="page"/>
      </w:r>
    </w:p>
    <w:p>
      <w:pPr>
        <w:keepNext/>
        <w:spacing w:before="360" w:after="120"/>
      </w:pPr>
      <w:r>
        <w:rPr>
          <w:rFonts w:ascii="Georgia" w:hAnsi="Georgia"/>
          <w:b/>
          <w:color w:val="0F172A"/>
          <w:sz w:val="32"/>
        </w:rPr>
        <w:t>1. Introduction</w:t>
      </w:r>
    </w:p>
    <w:p>
      <w:pPr>
        <w:spacing w:before="0" w:after="100" w:line="276" w:lineRule="auto"/>
      </w:pPr>
      <w:r>
        <w:rPr>
          <w:rFonts w:ascii="Calibri" w:hAnsi="Calibri"/>
          <w:color w:val="1E293B"/>
          <w:sz w:val="22"/>
        </w:rPr>
        <w:t>Digital misinformation, sensationalized fake news, and coordinated disinformation campaigns present severe informational security hazards across contemporary online communication platforms. The proliferation of untruthful narratives influences public health compliance, financial market volatility, democratic electoral integrity, and social cohesion. Crucially, combating misinformation is fundamentally a strategic dilemma as well as an algorithmic technical challenge. Content sharers choose dissemination actions deliberately to capture social attention, monetize clicks, amplify ideological propaganda, or build follower networks. Conversely, social media platforms implement algorithmic filtering, fact-checking tags, rate limits, shadowbans, and account suspensions to safeguard advertiser confidence, preserve institutional brand reputation, and fulfill statutory compliance mandates.</w:t>
      </w:r>
    </w:p>
    <w:p>
      <w:pPr>
        <w:spacing w:before="0" w:after="100" w:line="276" w:lineRule="auto"/>
      </w:pPr>
      <w:r>
        <w:rPr>
          <w:rFonts w:ascii="Calibri" w:hAnsi="Calibri"/>
          <w:color w:val="1E293B"/>
          <w:sz w:val="22"/>
        </w:rPr>
        <w:t>When platforms strengthen moderation interventions, they alter the payoff environment of content sharers. In response, rational sharers modify their publishing behavior, either moderating their claims or seeking alternative channels. Game Theory provides a formal, rigorous mathematical methodology for evaluating these interdependent decisions, characterizing the incentives governing both parties, and predicting stable strategic equilibria. This project develops an interactive educational laboratory bridging formal non-cooperative game theory with macroscopic epidemiological diffusion dynamics. Rather than relying on opaque machine learning heuristics, the system provides transparent parameter customization, allowing faculty, researchers, and students to explore how defensive enforcement credibility deters adversarial propagation across digital networks.</w:t>
      </w:r>
    </w:p>
    <w:p>
      <w:pPr>
        <w:keepNext/>
        <w:spacing w:before="360" w:after="120"/>
      </w:pPr>
      <w:r>
        <w:rPr>
          <w:rFonts w:ascii="Georgia" w:hAnsi="Georgia"/>
          <w:b/>
          <w:color w:val="0F172A"/>
          <w:sz w:val="32"/>
        </w:rPr>
        <w:t>2. Problem Statement</w:t>
      </w:r>
    </w:p>
    <w:p>
      <w:pPr>
        <w:spacing w:before="0" w:after="100" w:line="276" w:lineRule="auto"/>
      </w:pPr>
      <w:r>
        <w:rPr>
          <w:rFonts w:ascii="Calibri" w:hAnsi="Calibri"/>
          <w:color w:val="1E293B"/>
          <w:sz w:val="22"/>
        </w:rPr>
        <w:t>In modern social media ecosystems, platform integrity teams face a dual challenge: designing content moderation mechanisms that effectively deter deceptive viral spread while managing the substantial operational overhead of algorithmic detection, verification infrastructure, and false-positive user friction. Evaluating defensive policies in isolation from user incentives frequently yields policy failure: weak or permissive enforcement rewards sensationalized viral exploitation, while excessive, indiscriminate censorship degrades user trust and incurs high administrative expenditure.</w:t>
      </w:r>
    </w:p>
    <w:p>
      <w:pPr>
        <w:spacing w:before="0" w:after="100" w:line="276" w:lineRule="auto"/>
      </w:pPr>
      <w:r>
        <w:rPr>
          <w:rFonts w:ascii="Calibri" w:hAnsi="Calibri"/>
          <w:color w:val="1E293B"/>
          <w:sz w:val="22"/>
        </w:rPr>
        <w:t>The central problem addressed in this academic project is twofold:</w:t>
        <w:br/>
        <w:t>1. How can the interdependent strategic decisions of Content Sharers and Social Media Platforms be formalized within a tractable mathematical game-theoretic framework that rigorously identifies equilibrium points and dominant strategies?</w:t>
        <w:br/>
        <w:t>2. How can the resulting strategic equilibrium profiles be quantitatively linked to macroscopic epidemiological diffusion dynamics, enabling transparent visual comparison between unmitigated viral contagion and active moderation policies?</w:t>
      </w:r>
    </w:p>
    <w:p>
      <w:pPr>
        <w:keepNext/>
        <w:spacing w:before="360" w:after="120"/>
      </w:pPr>
      <w:r>
        <w:rPr>
          <w:rFonts w:ascii="Georgia" w:hAnsi="Georgia"/>
          <w:b/>
          <w:color w:val="0F172A"/>
          <w:sz w:val="32"/>
        </w:rPr>
        <w:t>3. Objectives and Scope</w:t>
      </w:r>
    </w:p>
    <w:p>
      <w:pPr>
        <w:spacing w:before="0" w:after="100" w:line="276" w:lineRule="auto"/>
      </w:pPr>
      <w:r>
        <w:rPr>
          <w:rFonts w:ascii="Calibri" w:hAnsi="Calibri"/>
          <w:color w:val="1E293B"/>
          <w:sz w:val="22"/>
        </w:rPr>
        <w:t>The primary academic and technical objectives of this project are:</w:t>
      </w:r>
    </w:p>
    <w:p>
      <w:pPr>
        <w:spacing w:before="0" w:after="100" w:line="276" w:lineRule="auto"/>
      </w:pPr>
      <w:r>
        <w:rPr>
          <w:rFonts w:ascii="Calibri" w:hAnsi="Calibri"/>
          <w:color w:val="1E293B"/>
          <w:sz w:val="22"/>
        </w:rPr>
        <w:t>• Model Content Sharers (Player 1) and Social Media Platforms (Player 2) as rational decision-makers in a 2-player strategic normal-form game.</w:t>
      </w:r>
    </w:p>
    <w:p>
      <w:pPr>
        <w:spacing w:before="0" w:after="100" w:line="276" w:lineRule="auto"/>
      </w:pPr>
      <w:r>
        <w:rPr>
          <w:rFonts w:ascii="Calibri" w:hAnsi="Calibri"/>
          <w:color w:val="1E293B"/>
          <w:sz w:val="22"/>
        </w:rPr>
        <w:t>• Define discrete strategic action spaces: {Spread (S), Do Not Spread (N)} for the sharer, and {Weak Moderation (W), Strong Moderation (M)} for the platform.</w:t>
      </w:r>
    </w:p>
    <w:p>
      <w:pPr>
        <w:spacing w:before="0" w:after="100" w:line="276" w:lineRule="auto"/>
      </w:pPr>
      <w:r>
        <w:rPr>
          <w:rFonts w:ascii="Calibri" w:hAnsi="Calibri"/>
          <w:color w:val="1E293B"/>
          <w:sz w:val="22"/>
        </w:rPr>
        <w:t>• Formulate a transparent, normalized 2×2 payoff matrix mapping reputational damages, virality engagement, infrastructure overhead, and punitive sanctions.</w:t>
      </w:r>
    </w:p>
    <w:p>
      <w:pPr>
        <w:spacing w:before="0" w:after="100" w:line="276" w:lineRule="auto"/>
      </w:pPr>
      <w:r>
        <w:rPr>
          <w:rFonts w:ascii="Calibri" w:hAnsi="Calibri"/>
          <w:color w:val="1E293B"/>
          <w:sz w:val="22"/>
        </w:rPr>
        <w:t>• Calculate strategic best-response mappings, identify strictly dominant strategies, and solve for pure-strategy Nash equilibria.</w:t>
      </w:r>
    </w:p>
    <w:p>
      <w:pPr>
        <w:spacing w:before="0" w:after="100" w:line="276" w:lineRule="auto"/>
      </w:pPr>
      <w:r>
        <w:rPr>
          <w:rFonts w:ascii="Calibri" w:hAnsi="Calibri"/>
          <w:color w:val="1E293B"/>
          <w:sz w:val="22"/>
        </w:rPr>
        <w:t>• Formulate a discrete non-linear logistic exposure recurrence modeling the macroscopic spread of false information across simulated network populations.</w:t>
      </w:r>
    </w:p>
    <w:p>
      <w:pPr>
        <w:spacing w:before="0" w:after="100" w:line="276" w:lineRule="auto"/>
      </w:pPr>
      <w:r>
        <w:rPr>
          <w:rFonts w:ascii="Calibri" w:hAnsi="Calibri"/>
          <w:color w:val="1E293B"/>
          <w:sz w:val="22"/>
        </w:rPr>
        <w:t>• Quantify critical epidemiological exposure metrics: Final Cumulative Exposure, Peak Exposure, Percentage Exposure Reduction, and Total Infections Prevented.</w:t>
      </w:r>
    </w:p>
    <w:p>
      <w:pPr>
        <w:spacing w:before="0" w:after="100" w:line="276" w:lineRule="auto"/>
      </w:pPr>
      <w:r>
        <w:rPr>
          <w:rFonts w:ascii="Calibri" w:hAnsi="Calibri"/>
          <w:color w:val="1E293B"/>
          <w:sz w:val="22"/>
        </w:rPr>
        <w:t>• Develop a modern, responsive, zero-backend web dashboard using HTML5, CSS3 (with robust Dark and Light mode support), Vanilla JavaScript, and Vite for instant deployment on Vercel.</w:t>
      </w:r>
    </w:p>
    <w:tbl>
      <w:tblPr>
        <w:tblW w:type="auto" w:w="0"/>
        <w:jc w:val="center"/>
        <w:tblLook w:firstColumn="1" w:firstRow="1" w:lastColumn="0" w:lastRow="0" w:noHBand="0" w:noVBand="1" w:val="04A0"/>
      </w:tblPr>
      <w:tblGrid>
        <w:gridCol w:w="9029"/>
      </w:tblGrid>
      <w:tr>
        <w:tc>
          <w:tcPr>
            <w:tcW w:type="dxa" w:w="9029"/>
            <w:shd w:fill="F1F5F9"/>
            <w:tcMar>
              <w:top w:w="140" w:type="dxa"/>
              <w:bottom w:w="140" w:type="dxa"/>
              <w:left w:w="200" w:type="dxa"/>
              <w:right w:w="200" w:type="dxa"/>
            </w:tcMar>
            <w:tcBorders>
              <w:left w:val="single" w:sz="24" w:space="0" w:color="0284C7"/>
              <w:top w:val="none"/>
              <w:right w:val="none"/>
              <w:bottom w:val="none"/>
            </w:tcBorders>
          </w:tcPr>
          <w:p>
            <w:pPr>
              <w:spacing w:before="0" w:after="0" w:line="276" w:lineRule="auto"/>
            </w:pPr>
            <w:r>
              <w:rPr>
                <w:rFonts w:ascii="Calibri" w:hAnsi="Calibri"/>
                <w:b/>
                <w:color w:val="0284C7"/>
                <w:sz w:val="21"/>
              </w:rPr>
              <w:t xml:space="preserve">ACADEMIC SCOPE &amp; BOUNDARIES: </w:t>
            </w:r>
            <w:r>
              <w:rPr>
                <w:rFonts w:ascii="Calibri" w:hAnsi="Calibri"/>
                <w:color w:val="1E293B"/>
                <w:sz w:val="21"/>
              </w:rPr>
              <w:t>Academic Scope Notice: This project is an illustrative educational simulation designed for undergraduate-level Game Theory and Information Security demonstration. It models contagion deterministically using validated discrete recurrences and relies on normalized utility values. It is not an empirical commercial machine-learning prediction system, nor does it scrape live proprietary platform feeds.</w:t>
            </w:r>
          </w:p>
        </w:tc>
      </w:tr>
    </w:tbl>
    <w:p>
      <w:pPr>
        <w:spacing w:after="80"/>
      </w:pPr>
    </w:p>
    <w:p>
      <w:pPr>
        <w:keepNext/>
        <w:spacing w:before="360" w:after="120"/>
      </w:pPr>
      <w:r>
        <w:rPr>
          <w:rFonts w:ascii="Georgia" w:hAnsi="Georgia"/>
          <w:b/>
          <w:color w:val="0F172A"/>
          <w:sz w:val="32"/>
        </w:rPr>
        <w:t>4. Background and Game Theory</w:t>
      </w:r>
    </w:p>
    <w:p>
      <w:pPr>
        <w:spacing w:before="0" w:after="100" w:line="276" w:lineRule="auto"/>
      </w:pPr>
      <w:r>
        <w:rPr>
          <w:rFonts w:ascii="Calibri" w:hAnsi="Calibri"/>
          <w:color w:val="1E293B"/>
          <w:sz w:val="22"/>
        </w:rPr>
        <w:t>Game Theory is the formal study of mathematical models of strategic interaction among rational decision-makers. Because an agent's optimal decision in an informational network depends directly on the anticipated defensive posture of the counterparty, strategic normal-form games provide the foundational framework for analyzing misinformation deterrence.</w:t>
      </w:r>
    </w:p>
    <w:p>
      <w:pPr>
        <w:keepNext/>
        <w:spacing w:before="240" w:after="80"/>
      </w:pPr>
      <w:r>
        <w:rPr>
          <w:rFonts w:ascii="Calibri" w:hAnsi="Calibri"/>
          <w:b/>
          <w:color w:val="0284C7"/>
          <w:sz w:val="26"/>
        </w:rPr>
        <w:t>4.1 Basic Game Theory Concepts</w:t>
      </w:r>
    </w:p>
    <w:p>
      <w:pPr>
        <w:spacing w:before="0" w:after="100" w:line="276" w:lineRule="auto"/>
      </w:pPr>
      <w:r>
        <w:rPr>
          <w:rFonts w:ascii="Calibri" w:hAnsi="Calibri"/>
          <w:b/>
          <w:color w:val="0F172A"/>
          <w:sz w:val="22"/>
        </w:rPr>
        <w:t xml:space="preserve">Formal Game Definition: </w:t>
      </w:r>
      <w:r>
        <w:rPr>
          <w:rFonts w:ascii="Calibri" w:hAnsi="Calibri"/>
          <w:color w:val="1E293B"/>
          <w:sz w:val="22"/>
        </w:rPr>
        <w:t>A standard strategic normal-form game is defined by the triplet Γ = ⟨N, (S_i), (u_i)⟩, comprising:</w:t>
      </w:r>
    </w:p>
    <w:p>
      <w:pPr>
        <w:spacing w:before="0" w:after="100" w:line="276" w:lineRule="auto"/>
      </w:pPr>
      <w:r>
        <w:rPr>
          <w:rFonts w:ascii="Calibri" w:hAnsi="Calibri"/>
          <w:color w:val="1E293B"/>
          <w:sz w:val="22"/>
        </w:rPr>
        <w:t>• Players (N): The set of strategic decision-makers participating in the game. In this project, N = {Content Sharer, Platform Moderator}.</w:t>
      </w:r>
    </w:p>
    <w:p>
      <w:pPr>
        <w:spacing w:before="0" w:after="100" w:line="276" w:lineRule="auto"/>
      </w:pPr>
      <w:r>
        <w:rPr>
          <w:rFonts w:ascii="Calibri" w:hAnsi="Calibri"/>
          <w:color w:val="1E293B"/>
          <w:sz w:val="22"/>
        </w:rPr>
        <w:t>• Strategy Sets (S_i): The complete set of feasible actions available to player i. Each player chooses an action simultaneously and independently.</w:t>
      </w:r>
    </w:p>
    <w:p>
      <w:pPr>
        <w:spacing w:before="0" w:after="100" w:line="276" w:lineRule="auto"/>
      </w:pPr>
      <w:r>
        <w:rPr>
          <w:rFonts w:ascii="Calibri" w:hAnsi="Calibri"/>
          <w:color w:val="1E293B"/>
          <w:sz w:val="22"/>
        </w:rPr>
        <w:t>• Payoffs or Utilities (u_i): Real-valued utility functions u_i: S → ℝ mapping each strategy profile (s_1, s_2) to a scalar utility score representing satisfaction, engagement, financial return, or reputational standing.</w:t>
      </w:r>
    </w:p>
    <w:p>
      <w:pPr>
        <w:spacing w:before="0" w:after="100" w:line="276" w:lineRule="auto"/>
      </w:pPr>
      <w:r>
        <w:rPr>
          <w:rFonts w:ascii="Calibri" w:hAnsi="Calibri"/>
          <w:color w:val="1E293B"/>
          <w:sz w:val="22"/>
        </w:rPr>
        <w:t>• Best Response (BR_i): An action that maximizes a player's expected payoff given a specific choice by the opponent: BR_i(s_{-i}) = argmax_{s_i} u_i(s_i, s_{-i}).</w:t>
      </w:r>
    </w:p>
    <w:p>
      <w:pPr>
        <w:spacing w:before="0" w:after="100" w:line="276" w:lineRule="auto"/>
      </w:pPr>
      <w:r>
        <w:rPr>
          <w:rFonts w:ascii="Calibri" w:hAnsi="Calibri"/>
          <w:color w:val="1E293B"/>
          <w:sz w:val="22"/>
        </w:rPr>
        <w:t>• Strictly Dominant Strategy: A strategy s_i* that yields a strictly higher payoff than any alternative strategy s_i' for every possible strategy choice of the opponent: u_i(s_i*, s_{-i}) &gt; u_i(s_i', s_{-i}) ∀ s_{-i}.</w:t>
      </w:r>
    </w:p>
    <w:p>
      <w:pPr>
        <w:spacing w:before="0" w:after="100" w:line="276" w:lineRule="auto"/>
      </w:pPr>
      <w:r>
        <w:rPr>
          <w:rFonts w:ascii="Calibri" w:hAnsi="Calibri"/>
          <w:color w:val="1E293B"/>
          <w:sz w:val="22"/>
        </w:rPr>
        <w:t>• Nash Equilibrium: A strategy profile (s_1*, s_2*) from which no player can unilaterally deviate to achieve a strictly higher utility: u_i(s_i*, s_{-i}*) ≥ u_i(s_i, s_{-i}*) for all s_i ∈ S_i. At Nash equilibrium, beliefs and actions are mutually consistent.</w:t>
      </w:r>
    </w:p>
    <w:p>
      <w:pPr>
        <w:spacing w:before="0" w:after="100" w:line="276" w:lineRule="auto"/>
      </w:pPr>
      <w:r>
        <w:rPr>
          <w:rFonts w:ascii="Calibri" w:hAnsi="Calibri"/>
          <w:color w:val="1E293B"/>
          <w:sz w:val="22"/>
        </w:rPr>
        <w:t>• Iterated Elimination of Strictly Dominated Strategies (IESDS): A deductive rationalization process in which strategies that are strictly inferior under all conditions are iteratively removed, simplifying the strategic decision space.</w:t>
      </w:r>
    </w:p>
    <w:p>
      <w:pPr>
        <w:keepNext/>
        <w:spacing w:before="240" w:after="80"/>
      </w:pPr>
      <w:r>
        <w:rPr>
          <w:rFonts w:ascii="Calibri" w:hAnsi="Calibri"/>
          <w:b/>
          <w:color w:val="0284C7"/>
          <w:sz w:val="26"/>
        </w:rPr>
        <w:t>4.2 Players and Available Strategies</w:t>
      </w:r>
    </w:p>
    <w:p>
      <w:pPr>
        <w:spacing w:before="0" w:after="100" w:line="276" w:lineRule="auto"/>
      </w:pPr>
      <w:r>
        <w:rPr>
          <w:rFonts w:ascii="Calibri" w:hAnsi="Calibri"/>
          <w:color w:val="1E293B"/>
          <w:sz w:val="22"/>
        </w:rPr>
        <w:t>The project models a strategic interaction between two distinct entities:</w:t>
      </w:r>
    </w:p>
    <w:p>
      <w:pPr>
        <w:spacing w:before="0" w:after="100" w:line="276" w:lineRule="auto"/>
      </w:pPr>
      <w:r>
        <w:rPr>
          <w:rFonts w:ascii="Calibri" w:hAnsi="Calibri"/>
          <w:b/>
          <w:color w:val="0F172A"/>
          <w:sz w:val="22"/>
        </w:rPr>
        <w:t xml:space="preserve">Player 1: </w:t>
      </w:r>
      <w:r>
        <w:rPr>
          <w:rFonts w:ascii="Calibri" w:hAnsi="Calibri"/>
          <w:color w:val="1E293B"/>
          <w:sz w:val="22"/>
        </w:rPr>
        <w:t>1. Player 1: Content Sharer (Information Spreader): Represents an individual user, bot operator, or coordinated creator seeking online audience reach. Available actions:</w:t>
      </w:r>
    </w:p>
    <w:p>
      <w:pPr>
        <w:spacing w:before="0" w:after="100" w:line="276" w:lineRule="auto"/>
      </w:pPr>
      <w:r>
        <w:rPr>
          <w:rFonts w:ascii="Calibri" w:hAnsi="Calibri"/>
          <w:color w:val="1E293B"/>
          <w:sz w:val="22"/>
        </w:rPr>
        <w:t xml:space="preserve">   • Spread (S): Actively author, seed, or amplify sensationalized, unverified, or fabricated content to maximize virality and peer engagement.</w:t>
      </w:r>
    </w:p>
    <w:p>
      <w:pPr>
        <w:spacing w:before="0" w:after="100" w:line="276" w:lineRule="auto"/>
      </w:pPr>
      <w:r>
        <w:rPr>
          <w:rFonts w:ascii="Calibri" w:hAnsi="Calibri"/>
          <w:color w:val="1E293B"/>
          <w:sz w:val="22"/>
        </w:rPr>
        <w:t xml:space="preserve">   • Do Not Spread (N): Voluntarily adhere to community truthfulness standards, posting verified organic information or remaining quiet.</w:t>
      </w:r>
    </w:p>
    <w:p>
      <w:pPr>
        <w:spacing w:before="0" w:after="100" w:line="276" w:lineRule="auto"/>
      </w:pPr>
      <w:r>
        <w:rPr>
          <w:rFonts w:ascii="Calibri" w:hAnsi="Calibri"/>
          <w:b/>
          <w:color w:val="0F172A"/>
          <w:sz w:val="22"/>
        </w:rPr>
        <w:t xml:space="preserve">Player 2: </w:t>
      </w:r>
      <w:r>
        <w:rPr>
          <w:rFonts w:ascii="Calibri" w:hAnsi="Calibri"/>
          <w:color w:val="1E293B"/>
          <w:sz w:val="22"/>
        </w:rPr>
        <w:t>2. Player 2: Social Media Platform (Moderator / Network Operator): Represents the governing platform administration responsible for feed algorithms and community integrity. Available actions:</w:t>
      </w:r>
    </w:p>
    <w:p>
      <w:pPr>
        <w:spacing w:before="0" w:after="100" w:line="276" w:lineRule="auto"/>
      </w:pPr>
      <w:r>
        <w:rPr>
          <w:rFonts w:ascii="Calibri" w:hAnsi="Calibri"/>
          <w:color w:val="1E293B"/>
          <w:sz w:val="22"/>
        </w:rPr>
        <w:t xml:space="preserve">   • Weak Moderation (W): Operate a permissive, laissez-faire algorithmic feed with minimal filtering overhead and slack enforcement.</w:t>
      </w:r>
    </w:p>
    <w:p>
      <w:pPr>
        <w:spacing w:before="0" w:after="100" w:line="276" w:lineRule="auto"/>
      </w:pPr>
      <w:r>
        <w:rPr>
          <w:rFonts w:ascii="Calibri" w:hAnsi="Calibri"/>
          <w:color w:val="1E293B"/>
          <w:sz w:val="22"/>
        </w:rPr>
        <w:t xml:space="preserve">   • Strong Moderation (M): Deploy aggressive automated classifier filters, fact-checking warning banners, downranking interventions, and punitive account shadowbans.</w:t>
      </w:r>
    </w:p>
    <w:p>
      <w:pPr>
        <w:keepNext/>
        <w:spacing w:before="240" w:after="80"/>
      </w:pPr>
      <w:r>
        <w:rPr>
          <w:rFonts w:ascii="Calibri" w:hAnsi="Calibri"/>
          <w:b/>
          <w:color w:val="0284C7"/>
          <w:sz w:val="26"/>
        </w:rPr>
        <w:t>4.3 Payoff Matrix Formulation</w:t>
      </w:r>
    </w:p>
    <w:p>
      <w:pPr>
        <w:spacing w:before="0" w:after="100" w:line="276" w:lineRule="auto"/>
      </w:pPr>
      <w:r>
        <w:rPr>
          <w:rFonts w:ascii="Calibri" w:hAnsi="Calibri"/>
          <w:color w:val="1E293B"/>
          <w:sz w:val="22"/>
        </w:rPr>
        <w:t>The interaction is summarized in a 2×2 normal-form payoff matrix. Payoffs are represented as ordered pairs (u_Sharer, u_Platform), normalized to an illustrative educational scale reflecting relative strategic utility.</w:t>
      </w:r>
    </w:p>
    <w:tbl>
      <w:tblPr>
        <w:tblW w:type="auto" w:w="0"/>
        <w:jc w:val="center"/>
        <w:tblLayout w:type="fixed"/>
        <w:tblLook w:firstColumn="1" w:firstRow="1" w:lastColumn="0" w:lastRow="0" w:noHBand="0" w:noVBand="1" w:val="04A0"/>
      </w:tblPr>
      <w:tblGrid>
        <w:gridCol w:w="3010"/>
        <w:gridCol w:w="3010"/>
        <w:gridCol w:w="3010"/>
      </w:tblGrid>
      <w:tr>
        <w:tc>
          <w:tcPr>
            <w:tcW w:type="dxa" w:w="3024"/>
            <w:shd w:fill="0F172A"/>
            <w:tcMar>
              <w:top w:w="100" w:type="dxa"/>
              <w:bottom w:w="100" w:type="dxa"/>
              <w:left w:w="100" w:type="dxa"/>
              <w:right w:w="100" w:type="dxa"/>
            </w:tcMar>
          </w:tcPr>
          <w:p>
            <w:pPr>
              <w:jc w:val="center"/>
            </w:pPr>
            <w:r>
              <w:rPr>
                <w:rFonts w:ascii="Calibri" w:hAnsi="Calibri"/>
                <w:b/>
                <w:color w:val="FFFFFF"/>
                <w:sz w:val="20"/>
              </w:rPr>
              <w:t>Sharer Strategy</w:t>
            </w:r>
          </w:p>
        </w:tc>
        <w:tc>
          <w:tcPr>
            <w:tcW w:type="dxa" w:w="3024"/>
            <w:shd w:fill="0F172A"/>
            <w:tcMar>
              <w:top w:w="100" w:type="dxa"/>
              <w:bottom w:w="100" w:type="dxa"/>
              <w:left w:w="100" w:type="dxa"/>
              <w:right w:w="100" w:type="dxa"/>
            </w:tcMar>
          </w:tcPr>
          <w:p>
            <w:pPr>
              <w:jc w:val="center"/>
            </w:pPr>
            <w:r>
              <w:rPr>
                <w:rFonts w:ascii="Calibri" w:hAnsi="Calibri"/>
                <w:b/>
                <w:color w:val="FFFFFF"/>
                <w:sz w:val="20"/>
              </w:rPr>
              <w:t>Platform: Weak Moderation (W)</w:t>
            </w:r>
          </w:p>
        </w:tc>
        <w:tc>
          <w:tcPr>
            <w:tcW w:type="dxa" w:w="3024"/>
            <w:shd w:fill="0F172A"/>
            <w:tcMar>
              <w:top w:w="100" w:type="dxa"/>
              <w:bottom w:w="100" w:type="dxa"/>
              <w:left w:w="100" w:type="dxa"/>
              <w:right w:w="100" w:type="dxa"/>
            </w:tcMar>
          </w:tcPr>
          <w:p>
            <w:pPr>
              <w:jc w:val="center"/>
            </w:pPr>
            <w:r>
              <w:rPr>
                <w:rFonts w:ascii="Calibri" w:hAnsi="Calibri"/>
                <w:b/>
                <w:color w:val="FFFFFF"/>
                <w:sz w:val="20"/>
              </w:rPr>
              <w:t>Platform: Strong Moderation (M)</w:t>
            </w:r>
          </w:p>
        </w:tc>
      </w:tr>
      <w:tr>
        <w:tc>
          <w:tcPr>
            <w:tcW w:type="dxa" w:w="3024"/>
            <w:tcMar>
              <w:top w:w="100" w:type="dxa"/>
              <w:bottom w:w="100" w:type="dxa"/>
              <w:left w:w="100" w:type="dxa"/>
              <w:right w:w="100" w:type="dxa"/>
            </w:tcMar>
            <w:shd w:fill="F8FAFC"/>
          </w:tcPr>
          <w:p>
            <w:pPr>
              <w:jc w:val="center"/>
            </w:pPr>
            <w:r>
              <w:rPr>
                <w:rFonts w:ascii="Calibri" w:hAnsi="Calibri"/>
                <w:b/>
                <w:color w:val="0F172A"/>
                <w:sz w:val="20"/>
              </w:rPr>
              <w:t>Spread Fake News (S)</w:t>
            </w:r>
          </w:p>
        </w:tc>
        <w:tc>
          <w:tcPr>
            <w:tcW w:type="dxa" w:w="3024"/>
            <w:tcMar>
              <w:top w:w="100" w:type="dxa"/>
              <w:bottom w:w="100" w:type="dxa"/>
              <w:left w:w="100" w:type="dxa"/>
              <w:right w:w="100" w:type="dxa"/>
            </w:tcMar>
            <w:shd w:fill="FFFFFF"/>
          </w:tcPr>
          <w:p>
            <w:pPr>
              <w:jc w:val="center"/>
            </w:pPr>
            <w:r>
              <w:rPr>
                <w:rFonts w:ascii="Calibri" w:hAnsi="Calibri"/>
                <w:color w:val="1E293B"/>
                <w:sz w:val="20"/>
              </w:rPr>
              <w:t>(5.0, -4.0)</w:t>
              <w:br/>
              <w:t>Viral Exploitation</w:t>
            </w:r>
          </w:p>
        </w:tc>
        <w:tc>
          <w:tcPr>
            <w:tcW w:type="dxa" w:w="3024"/>
            <w:tcMar>
              <w:top w:w="100" w:type="dxa"/>
              <w:bottom w:w="100" w:type="dxa"/>
              <w:left w:w="100" w:type="dxa"/>
              <w:right w:w="100" w:type="dxa"/>
            </w:tcMar>
            <w:shd w:fill="FFFFFF"/>
          </w:tcPr>
          <w:p>
            <w:pPr>
              <w:jc w:val="center"/>
            </w:pPr>
            <w:r>
              <w:rPr>
                <w:rFonts w:ascii="Calibri" w:hAnsi="Calibri"/>
                <w:color w:val="1E293B"/>
                <w:sz w:val="20"/>
              </w:rPr>
              <w:t>(-2.0, 3.0)</w:t>
              <w:br/>
              <w:t>Active Deterrence</w:t>
            </w:r>
          </w:p>
        </w:tc>
      </w:tr>
      <w:tr>
        <w:tc>
          <w:tcPr>
            <w:tcW w:type="dxa" w:w="3024"/>
            <w:tcMar>
              <w:top w:w="100" w:type="dxa"/>
              <w:bottom w:w="100" w:type="dxa"/>
              <w:left w:w="100" w:type="dxa"/>
              <w:right w:w="100" w:type="dxa"/>
            </w:tcMar>
            <w:shd w:fill="F8FAFC"/>
          </w:tcPr>
          <w:p>
            <w:pPr>
              <w:jc w:val="center"/>
            </w:pPr>
            <w:r>
              <w:rPr>
                <w:rFonts w:ascii="Calibri" w:hAnsi="Calibri"/>
                <w:b/>
                <w:color w:val="0F172A"/>
                <w:sz w:val="20"/>
              </w:rPr>
              <w:t>Do Not Spread (N)</w:t>
            </w:r>
          </w:p>
        </w:tc>
        <w:tc>
          <w:tcPr>
            <w:tcW w:type="dxa" w:w="3024"/>
            <w:tcMar>
              <w:top w:w="100" w:type="dxa"/>
              <w:bottom w:w="100" w:type="dxa"/>
              <w:left w:w="100" w:type="dxa"/>
              <w:right w:w="100" w:type="dxa"/>
            </w:tcMar>
            <w:shd w:fill="FFFFFF"/>
          </w:tcPr>
          <w:p>
            <w:pPr>
              <w:jc w:val="center"/>
            </w:pPr>
            <w:r>
              <w:rPr>
                <w:rFonts w:ascii="Calibri" w:hAnsi="Calibri"/>
                <w:color w:val="1E293B"/>
                <w:sz w:val="20"/>
              </w:rPr>
              <w:t>(1.0, 0.0)</w:t>
              <w:br/>
              <w:t>Laissez-Faire Baseline</w:t>
            </w:r>
          </w:p>
        </w:tc>
        <w:tc>
          <w:tcPr>
            <w:tcW w:type="dxa" w:w="3024"/>
            <w:tcMar>
              <w:top w:w="100" w:type="dxa"/>
              <w:bottom w:w="100" w:type="dxa"/>
              <w:left w:w="100" w:type="dxa"/>
              <w:right w:w="100" w:type="dxa"/>
            </w:tcMar>
            <w:shd w:fill="ECFDF5"/>
            <w:tcBorders>
              <w:top w:val="single" w:sz="18" w:color="059669"/>
              <w:left w:val="single" w:sz="18" w:color="059669"/>
              <w:bottom w:val="single" w:sz="18" w:color="059669"/>
              <w:right w:val="single" w:sz="18" w:color="059669"/>
            </w:tcBorders>
          </w:tcPr>
          <w:p>
            <w:pPr>
              <w:jc w:val="center"/>
            </w:pPr>
            <w:r>
              <w:rPr>
                <w:rFonts w:ascii="Calibri" w:hAnsi="Calibri"/>
                <w:b/>
                <w:color w:val="059669"/>
                <w:sz w:val="20"/>
              </w:rPr>
              <w:t>(0.0, 2.0)</w:t>
              <w:br/>
              <w:t>Enforced Compliance [NASH EQ]</w:t>
            </w:r>
          </w:p>
        </w:tc>
      </w:tr>
    </w:tbl>
    <w:p>
      <w:pPr>
        <w:spacing w:after="120"/>
      </w:pPr>
    </w:p>
    <w:p>
      <w:pPr>
        <w:spacing w:before="0" w:after="100" w:line="276" w:lineRule="auto"/>
      </w:pPr>
      <w:r>
        <w:rPr>
          <w:rFonts w:ascii="Calibri" w:hAnsi="Calibri"/>
          <w:b/>
          <w:color w:val="0F172A"/>
          <w:sz w:val="22"/>
        </w:rPr>
        <w:t xml:space="preserve">Utility Decomposition: </w:t>
      </w:r>
      <w:r>
        <w:rPr>
          <w:rFonts w:ascii="Calibri" w:hAnsi="Calibri"/>
          <w:color w:val="1E293B"/>
          <w:sz w:val="22"/>
        </w:rPr>
        <w:t>Strategic Rationale for Assigned Utilities:</w:t>
        <w:br/>
        <w:t>• Profile (S, W) = (5.0, -4.0): In the absence of moderation, the sharer reaps unconstrained attention, high peer engagement, and advertising monetization (+5.0). The platform suffers brand damage, loss of reputable advertiser revenue, and regulatory scrutiny (-4.0).</w:t>
        <w:br/>
        <w:t>• Profile (S, M) = (-2.0, 3.0): When the platform aggressively filters, fact-checks, and penalizes fake news, the sharer incurs reputation loss, downranking, and potential account suspension (-2.0). The platform demonstrates effective integrity enforcement and earns stakeholder trust (+3.0), net of operational filtering costs.</w:t>
        <w:br/>
        <w:t>• Profile (N, W) = (1.0, 0.0): Organic benign content yields modest organic satisfaction for the sharer (+1.0) while the platform operates with minimal overhead and neutral baseline utility (0.0).</w:t>
        <w:br/>
        <w:t>• Profile (N, M) = (0.0, 2.0): The sharer complies with guidelines (0.0). The platform maintains an orderly, high-trust ecosystem (+2.0), minus the steady maintenance overhead of automated detection tools.</w:t>
      </w:r>
    </w:p>
    <w:p>
      <w:pPr>
        <w:keepNext/>
        <w:spacing w:before="240" w:after="80"/>
      </w:pPr>
      <w:r>
        <w:rPr>
          <w:rFonts w:ascii="Calibri" w:hAnsi="Calibri"/>
          <w:b/>
          <w:color w:val="0284C7"/>
          <w:sz w:val="26"/>
        </w:rPr>
        <w:t>4.4 Best Responses and Dominant Strategies</w:t>
      </w:r>
    </w:p>
    <w:p>
      <w:pPr>
        <w:spacing w:before="0" w:after="100" w:line="276" w:lineRule="auto"/>
      </w:pPr>
      <w:r>
        <w:rPr>
          <w:rFonts w:ascii="Calibri" w:hAnsi="Calibri"/>
          <w:color w:val="1E293B"/>
          <w:sz w:val="22"/>
        </w:rPr>
        <w:t>To analyze strategic stability, we evaluate each player's best-response correspondence step by step:</w:t>
      </w:r>
    </w:p>
    <w:p>
      <w:pPr>
        <w:spacing w:before="0" w:after="100" w:line="276" w:lineRule="auto"/>
      </w:pPr>
      <w:r>
        <w:rPr>
          <w:rFonts w:ascii="Calibri" w:hAnsi="Calibri"/>
          <w:b/>
          <w:color w:val="0F172A"/>
          <w:sz w:val="22"/>
        </w:rPr>
        <w:t xml:space="preserve">Step 1 — </w:t>
      </w:r>
      <w:r>
        <w:rPr>
          <w:rFonts w:ascii="Calibri" w:hAnsi="Calibri"/>
          <w:color w:val="1E293B"/>
          <w:sz w:val="22"/>
        </w:rPr>
        <w:t>Platform Best Response Formulation:</w:t>
      </w:r>
    </w:p>
    <w:p>
      <w:pPr>
        <w:spacing w:before="0" w:after="100" w:line="276" w:lineRule="auto"/>
      </w:pPr>
      <w:r>
        <w:rPr>
          <w:rFonts w:ascii="Calibri" w:hAnsi="Calibri"/>
          <w:color w:val="1E293B"/>
          <w:sz w:val="22"/>
        </w:rPr>
        <w:t>• If Sharer plays Spread (S): Platform compares Weak Moderation (u_2 = -4.0) vs. Strong Moderation (u_2 = +3.0). Since 3.0 &gt; -4.0, Platform strictly prefers M: BR_2(S) = {M}.</w:t>
      </w:r>
    </w:p>
    <w:p>
      <w:pPr>
        <w:spacing w:before="0" w:after="100" w:line="276" w:lineRule="auto"/>
      </w:pPr>
      <w:r>
        <w:rPr>
          <w:rFonts w:ascii="Calibri" w:hAnsi="Calibri"/>
          <w:color w:val="1E293B"/>
          <w:sz w:val="22"/>
        </w:rPr>
        <w:t>• If Sharer plays Do Not Spread (N): Platform compares Weak Moderation (u_2 = 0.0) vs. Strong Moderation (u_2 = +2.0). Since 2.0 &gt; 0.0, Platform strictly prefers M: BR_2(N) = {M}.</w:t>
      </w:r>
    </w:p>
    <w:p>
      <w:pPr>
        <w:spacing w:before="0" w:after="100" w:line="276" w:lineRule="auto"/>
      </w:pPr>
      <w:r>
        <w:rPr>
          <w:rFonts w:ascii="Calibri" w:hAnsi="Calibri"/>
          <w:color w:val="1E293B"/>
          <w:sz w:val="22"/>
        </w:rPr>
        <w:t>• Conclusion: Because Strong Moderation yields strictly higher payoffs than Weak Moderation regardless of whether the sharer spreads or refrains, Strong Moderation (M) is a strictly dominant strategy for the Platform.</w:t>
      </w:r>
    </w:p>
    <w:p>
      <w:pPr>
        <w:spacing w:before="0" w:after="100" w:line="276" w:lineRule="auto"/>
      </w:pPr>
      <w:r>
        <w:rPr>
          <w:rFonts w:ascii="Calibri" w:hAnsi="Calibri"/>
          <w:b/>
          <w:color w:val="0F172A"/>
          <w:sz w:val="22"/>
        </w:rPr>
        <w:t xml:space="preserve">Step 2 — </w:t>
      </w:r>
      <w:r>
        <w:rPr>
          <w:rFonts w:ascii="Calibri" w:hAnsi="Calibri"/>
          <w:color w:val="1E293B"/>
          <w:sz w:val="22"/>
        </w:rPr>
        <w:t>Sharer Best Response Formulation:</w:t>
      </w:r>
    </w:p>
    <w:p>
      <w:pPr>
        <w:spacing w:before="0" w:after="100" w:line="276" w:lineRule="auto"/>
      </w:pPr>
      <w:r>
        <w:rPr>
          <w:rFonts w:ascii="Calibri" w:hAnsi="Calibri"/>
          <w:color w:val="1E293B"/>
          <w:sz w:val="22"/>
        </w:rPr>
        <w:t>• If Platform plays Weak Moderation (W): Sharer compares S (u_1 = +5.0) vs. N (u_1 = +1.0). Since 5.0 &gt; 1.0, Sharer strictly prefers S: BR_1(W) = {S}.</w:t>
      </w:r>
    </w:p>
    <w:p>
      <w:pPr>
        <w:spacing w:before="0" w:after="100" w:line="276" w:lineRule="auto"/>
      </w:pPr>
      <w:r>
        <w:rPr>
          <w:rFonts w:ascii="Calibri" w:hAnsi="Calibri"/>
          <w:color w:val="1E293B"/>
          <w:sz w:val="22"/>
        </w:rPr>
        <w:t>• If Platform plays Strong Moderation (M): Sharer compares S (u_1 = -2.0) vs. N (u_1 = 0.0). Since 0.0 &gt; -2.0, Sharer strictly prefers N: BR_1(M) = {N}.</w:t>
      </w:r>
    </w:p>
    <w:p>
      <w:pPr>
        <w:spacing w:before="0" w:after="100" w:line="276" w:lineRule="auto"/>
      </w:pPr>
      <w:r>
        <w:rPr>
          <w:rFonts w:ascii="Calibri" w:hAnsi="Calibri"/>
          <w:color w:val="1E293B"/>
          <w:sz w:val="22"/>
        </w:rPr>
        <w:t>• Conclusion: The Sharer does not have a dominant strategy: their optimal choice is conditionally dependent on platform moderation intensity.</w:t>
      </w:r>
    </w:p>
    <w:p>
      <w:pPr>
        <w:keepNext/>
        <w:spacing w:before="240" w:after="80"/>
      </w:pPr>
      <w:r>
        <w:rPr>
          <w:rFonts w:ascii="Calibri" w:hAnsi="Calibri"/>
          <w:b/>
          <w:color w:val="0284C7"/>
          <w:sz w:val="26"/>
        </w:rPr>
        <w:t>4.5 Pure-Strategy Nash Equilibrium</w:t>
      </w:r>
    </w:p>
    <w:p>
      <w:pPr>
        <w:spacing w:before="0" w:after="100" w:line="276" w:lineRule="auto"/>
      </w:pPr>
      <w:r>
        <w:rPr>
          <w:rFonts w:ascii="Calibri" w:hAnsi="Calibri"/>
          <w:color w:val="1E293B"/>
          <w:sz w:val="22"/>
        </w:rPr>
        <w:t>A Nash equilibrium requires mutual best responses: s* ∈ BR_1(p*) and p* ∈ BR_2(s*). Evaluating all four candidate strategy profiles:</w:t>
      </w:r>
    </w:p>
    <w:p>
      <w:pPr>
        <w:spacing w:before="0" w:after="100" w:line="276" w:lineRule="auto"/>
      </w:pPr>
      <w:r>
        <w:rPr>
          <w:rFonts w:ascii="Calibri" w:hAnsi="Calibri"/>
          <w:color w:val="1E293B"/>
          <w:sz w:val="22"/>
        </w:rPr>
        <w:t>• (S, W): Sharer is satisfied (S ∈ BR_1(W)), but Platform has an incentive to deviate to M (+3.0 &gt; -4.0). Not an equilibrium.</w:t>
      </w:r>
    </w:p>
    <w:p>
      <w:pPr>
        <w:spacing w:before="0" w:after="100" w:line="276" w:lineRule="auto"/>
      </w:pPr>
      <w:r>
        <w:rPr>
          <w:rFonts w:ascii="Calibri" w:hAnsi="Calibri"/>
          <w:color w:val="1E293B"/>
          <w:sz w:val="22"/>
        </w:rPr>
        <w:t>• (S, M): Platform is satisfied (M ∈ BR_2(S)), but Sharer has an incentive to deviate to N (0.0 &gt; -2.0). Not an equilibrium.</w:t>
      </w:r>
    </w:p>
    <w:p>
      <w:pPr>
        <w:spacing w:before="0" w:after="100" w:line="276" w:lineRule="auto"/>
      </w:pPr>
      <w:r>
        <w:rPr>
          <w:rFonts w:ascii="Calibri" w:hAnsi="Calibri"/>
          <w:color w:val="1E293B"/>
          <w:sz w:val="22"/>
        </w:rPr>
        <w:t>• (N, W): Neither player is playing a best response. Sharer deviates to S (+5.0 &gt; +1.0); Platform deviates to M (+2.0 &gt; 0.0). Not an equilibrium.</w:t>
      </w:r>
    </w:p>
    <w:p>
      <w:pPr>
        <w:spacing w:before="0" w:after="100" w:line="276" w:lineRule="auto"/>
      </w:pPr>
      <w:r>
        <w:rPr>
          <w:rFonts w:ascii="Calibri" w:hAnsi="Calibri"/>
          <w:color w:val="1E293B"/>
          <w:sz w:val="22"/>
        </w:rPr>
        <w:t>• (N, M): Sharer plays N = BR_1(M) because 0.0 &gt; -2.0. Platform plays M = BR_2(N) because 2.0 &gt; 0.0. Both players are simultaneously maximizing utility. Neither has any unilateral incentive to deviate.</w:t>
      </w:r>
    </w:p>
    <w:tbl>
      <w:tblPr>
        <w:tblW w:type="auto" w:w="0"/>
        <w:jc w:val="center"/>
        <w:tblLook w:firstColumn="1" w:firstRow="1" w:lastColumn="0" w:lastRow="0" w:noHBand="0" w:noVBand="1" w:val="04A0"/>
      </w:tblPr>
      <w:tblGrid>
        <w:gridCol w:w="9029"/>
      </w:tblGrid>
      <w:tr>
        <w:tc>
          <w:tcPr>
            <w:tcW w:type="dxa" w:w="9029"/>
            <w:shd w:fill="F1F5F9"/>
            <w:tcMar>
              <w:top w:w="140" w:type="dxa"/>
              <w:bottom w:w="140" w:type="dxa"/>
              <w:left w:w="200" w:type="dxa"/>
              <w:right w:w="200" w:type="dxa"/>
            </w:tcMar>
            <w:tcBorders>
              <w:left w:val="single" w:sz="24" w:space="0" w:color="0284C7"/>
              <w:top w:val="none"/>
              <w:right w:val="none"/>
              <w:bottom w:val="none"/>
            </w:tcBorders>
          </w:tcPr>
          <w:p>
            <w:pPr>
              <w:spacing w:before="0" w:after="0" w:line="276" w:lineRule="auto"/>
            </w:pPr>
            <w:r>
              <w:rPr>
                <w:rFonts w:ascii="Calibri" w:hAnsi="Calibri"/>
                <w:b/>
                <w:color w:val="0284C7"/>
                <w:sz w:val="21"/>
              </w:rPr>
              <w:t xml:space="preserve">NASH EQUILIBRIUM RESULT: </w:t>
            </w:r>
            <w:r>
              <w:rPr>
                <w:rFonts w:ascii="Calibri" w:hAnsi="Calibri"/>
                <w:color w:val="1E293B"/>
                <w:sz w:val="21"/>
              </w:rPr>
              <w:t>The unique pure-strategy Nash Equilibrium of this game is (N, M) = (Do Not Spread, Strong Moderation), with equilibrium payoffs (u_1*, u_2*) = (0.0, 2.0). This equilibrium is strictly stable and self-enforcing.</w:t>
            </w:r>
          </w:p>
        </w:tc>
      </w:tr>
    </w:tbl>
    <w:p>
      <w:pPr>
        <w:spacing w:after="80"/>
      </w:pPr>
    </w:p>
    <w:p>
      <w:pPr>
        <w:keepNext/>
        <w:spacing w:before="240" w:after="80"/>
      </w:pPr>
      <w:r>
        <w:rPr>
          <w:rFonts w:ascii="Calibri" w:hAnsi="Calibri"/>
          <w:b/>
          <w:color w:val="0284C7"/>
          <w:sz w:val="26"/>
        </w:rPr>
        <w:t>4.6 Iterated Elimination of Strictly Dominated Strategies (IESDS)</w:t>
      </w:r>
    </w:p>
    <w:p>
      <w:pPr>
        <w:spacing w:before="0" w:after="100" w:line="276" w:lineRule="auto"/>
      </w:pPr>
      <w:r>
        <w:rPr>
          <w:rFonts w:ascii="Calibri" w:hAnsi="Calibri"/>
          <w:color w:val="1E293B"/>
          <w:sz w:val="22"/>
        </w:rPr>
        <w:t>The equilibrium can also be established deductively via IESDS without testing candidate profiles:</w:t>
        <w:br/>
        <w:t>1. Round 1 (Platform Dominance): For the platform, column W is strictly dominated by column M since u_2(s, M) &gt; u_2(s, W) for all s ∈ {S, N}. Rational platforms will never play W. Eliminating column W reduces the game to a 2×1 matrix comprising column M.</w:t>
        <w:br/>
        <w:t>2. Round 2 (Sharer Rationality): In the reduced game, the content sharer faces only column M. The sharer compares row S (payoff -2.0) against row N (payoff 0.0). Because 0.0 &gt; -2.0, strategy S is strictly dominated in the reduced game and is eliminated.</w:t>
        <w:br/>
        <w:t>3. Surviving Profile: The unique surviving strategy profile is (N, M). Because the game is strictly dominance-solvable, (N, M) is the unique Nash equilibrium.</w:t>
      </w:r>
    </w:p>
    <w:p>
      <w:pPr>
        <w:keepNext/>
        <w:spacing w:before="240" w:after="80"/>
      </w:pPr>
      <w:r>
        <w:rPr>
          <w:rFonts w:ascii="Calibri" w:hAnsi="Calibri"/>
          <w:b/>
          <w:color w:val="0284C7"/>
          <w:sz w:val="26"/>
        </w:rPr>
        <w:t>4.7 Strategic Equilibrium Versus Social Outcome</w:t>
      </w:r>
    </w:p>
    <w:p>
      <w:pPr>
        <w:spacing w:before="0" w:after="100" w:line="276" w:lineRule="auto"/>
      </w:pPr>
      <w:r>
        <w:rPr>
          <w:rFonts w:ascii="Calibri" w:hAnsi="Calibri"/>
          <w:color w:val="1E293B"/>
          <w:sz w:val="22"/>
        </w:rPr>
        <w:t>An essential insight of game-theoretic analysis is that a Nash equilibrium reflects strategic stability under individual incentives rather than social optimality. At (N, M), the platform must expend real resources to maintain active moderation infrastructure (achieving payoff 2.0 rather than an idealized unencumbered state). However, because the threat of enforcement is credible and strictly dominant, fake news propagation is deterred at the source. Conversely, if the platform relaxes enforcement (playing W), the system immediately destabilizes into viral exploitation (S, W), inflicting severe damage (-4.0) on the information ecosystem.</w:t>
      </w:r>
    </w:p>
    <w:p>
      <w:r>
        <w:br w:type="page"/>
      </w:r>
    </w:p>
    <w:p>
      <w:pPr>
        <w:keepNext/>
        <w:spacing w:before="360" w:after="120"/>
      </w:pPr>
      <w:r>
        <w:rPr>
          <w:rFonts w:ascii="Georgia" w:hAnsi="Georgia"/>
          <w:b/>
          <w:color w:val="0F172A"/>
          <w:sz w:val="32"/>
        </w:rPr>
        <w:t>5. System Requirements and Architecture Stack</w:t>
      </w:r>
    </w:p>
    <w:p>
      <w:pPr>
        <w:spacing w:before="0" w:after="100" w:line="276" w:lineRule="auto"/>
      </w:pPr>
      <w:r>
        <w:rPr>
          <w:rFonts w:ascii="Calibri" w:hAnsi="Calibri"/>
          <w:color w:val="1E293B"/>
          <w:sz w:val="22"/>
        </w:rPr>
        <w:t>The project has been modernized and re-architected as a high-performance, web-native single-page application. All legacy Python/Streamlit frontend wrappers have been removed to eliminate backend latency, reduce server overhead, and allow static edge deployment on Vercel.</w:t>
      </w:r>
    </w:p>
    <w:tbl>
      <w:tblPr>
        <w:tblW w:type="auto" w:w="0"/>
        <w:jc w:val="center"/>
        <w:tblLayout w:type="fixed"/>
        <w:tblLook w:firstColumn="1" w:firstRow="1" w:lastColumn="0" w:lastRow="0" w:noHBand="0" w:noVBand="1" w:val="04A0"/>
      </w:tblPr>
      <w:tblGrid>
        <w:gridCol w:w="3010"/>
        <w:gridCol w:w="3010"/>
        <w:gridCol w:w="3010"/>
      </w:tblGrid>
      <w:tr>
        <w:tc>
          <w:tcPr>
            <w:tcW w:type="dxa" w:w="3010"/>
            <w:shd w:fill="0F172A"/>
            <w:tcMar>
              <w:top w:w="100" w:type="dxa"/>
              <w:bottom w:w="100" w:type="dxa"/>
              <w:left w:w="100" w:type="dxa"/>
              <w:right w:w="100" w:type="dxa"/>
            </w:tcMar>
          </w:tcPr>
          <w:p>
            <w:pPr>
              <w:jc w:val="center"/>
            </w:pPr>
            <w:r>
              <w:rPr>
                <w:rFonts w:ascii="Calibri" w:hAnsi="Calibri"/>
                <w:b/>
                <w:color w:val="FFFFFF"/>
                <w:sz w:val="19"/>
              </w:rPr>
              <w:t>Layer / Component</w:t>
            </w:r>
          </w:p>
        </w:tc>
        <w:tc>
          <w:tcPr>
            <w:tcW w:type="dxa" w:w="3010"/>
            <w:shd w:fill="0F172A"/>
            <w:tcMar>
              <w:top w:w="100" w:type="dxa"/>
              <w:bottom w:w="100" w:type="dxa"/>
              <w:left w:w="100" w:type="dxa"/>
              <w:right w:w="100" w:type="dxa"/>
            </w:tcMar>
          </w:tcPr>
          <w:p>
            <w:pPr>
              <w:jc w:val="center"/>
            </w:pPr>
            <w:r>
              <w:rPr>
                <w:rFonts w:ascii="Calibri" w:hAnsi="Calibri"/>
                <w:b/>
                <w:color w:val="FFFFFF"/>
                <w:sz w:val="19"/>
              </w:rPr>
              <w:t>Technology / Specification</w:t>
            </w:r>
          </w:p>
        </w:tc>
        <w:tc>
          <w:tcPr>
            <w:tcW w:type="dxa" w:w="3010"/>
            <w:shd w:fill="0F172A"/>
            <w:tcMar>
              <w:top w:w="100" w:type="dxa"/>
              <w:bottom w:w="100" w:type="dxa"/>
              <w:left w:w="100" w:type="dxa"/>
              <w:right w:w="100" w:type="dxa"/>
            </w:tcMar>
          </w:tcPr>
          <w:p>
            <w:pPr>
              <w:jc w:val="center"/>
            </w:pPr>
            <w:r>
              <w:rPr>
                <w:rFonts w:ascii="Calibri" w:hAnsi="Calibri"/>
                <w:b/>
                <w:color w:val="FFFFFF"/>
                <w:sz w:val="19"/>
              </w:rPr>
              <w:t>Architectural Role</w:t>
            </w:r>
          </w:p>
        </w:tc>
      </w:tr>
      <w:tr>
        <w:tc>
          <w:tcPr>
            <w:tcW w:type="dxa" w:w="3010"/>
            <w:tcMar>
              <w:top w:w="80" w:type="dxa"/>
              <w:bottom w:w="80" w:type="dxa"/>
              <w:left w:w="100" w:type="dxa"/>
              <w:right w:w="100" w:type="dxa"/>
            </w:tcMar>
            <w:shd w:fill="F8FAFC"/>
          </w:tcPr>
          <w:p>
            <w:r>
              <w:rPr>
                <w:rFonts w:ascii="Calibri" w:hAnsi="Calibri"/>
                <w:b/>
                <w:color w:val="0F172A"/>
                <w:sz w:val="18"/>
              </w:rPr>
              <w:t>Frontend Markup</w:t>
            </w:r>
          </w:p>
        </w:tc>
        <w:tc>
          <w:tcPr>
            <w:tcW w:type="dxa" w:w="3010"/>
            <w:tcMar>
              <w:top w:w="80" w:type="dxa"/>
              <w:bottom w:w="80" w:type="dxa"/>
              <w:left w:w="100" w:type="dxa"/>
              <w:right w:w="100" w:type="dxa"/>
            </w:tcMar>
            <w:shd w:fill="FFFFFF"/>
          </w:tcPr>
          <w:p>
            <w:r>
              <w:rPr>
                <w:rFonts w:ascii="Calibri" w:hAnsi="Calibri"/>
                <w:color w:val="1E293B"/>
                <w:sz w:val="18"/>
              </w:rPr>
              <w:t>HTML5 (Semantic Single-Page Architecture)</w:t>
            </w:r>
          </w:p>
        </w:tc>
        <w:tc>
          <w:tcPr>
            <w:tcW w:type="dxa" w:w="3010"/>
            <w:tcMar>
              <w:top w:w="80" w:type="dxa"/>
              <w:bottom w:w="80" w:type="dxa"/>
              <w:left w:w="100" w:type="dxa"/>
              <w:right w:w="100" w:type="dxa"/>
            </w:tcMar>
            <w:shd w:fill="FFFFFF"/>
          </w:tcPr>
          <w:p>
            <w:r>
              <w:rPr>
                <w:rFonts w:ascii="Calibri" w:hAnsi="Calibri"/>
                <w:color w:val="1E293B"/>
                <w:sz w:val="18"/>
              </w:rPr>
              <w:t>Accessible DOM hierarchy, ARIA labels, responsive sections (#game, #spread, #concepts)</w:t>
            </w:r>
          </w:p>
        </w:tc>
      </w:tr>
      <w:tr>
        <w:tc>
          <w:tcPr>
            <w:tcW w:type="dxa" w:w="3010"/>
            <w:tcMar>
              <w:top w:w="80" w:type="dxa"/>
              <w:bottom w:w="80" w:type="dxa"/>
              <w:left w:w="100" w:type="dxa"/>
              <w:right w:w="100" w:type="dxa"/>
            </w:tcMar>
            <w:shd w:fill="F8FAFC"/>
          </w:tcPr>
          <w:p>
            <w:r>
              <w:rPr>
                <w:rFonts w:ascii="Calibri" w:hAnsi="Calibri"/>
                <w:b/>
                <w:color w:val="0F172A"/>
                <w:sz w:val="18"/>
              </w:rPr>
              <w:t>Styling &amp; Design System</w:t>
            </w:r>
          </w:p>
        </w:tc>
        <w:tc>
          <w:tcPr>
            <w:tcW w:type="dxa" w:w="3010"/>
            <w:tcMar>
              <w:top w:w="80" w:type="dxa"/>
              <w:bottom w:w="80" w:type="dxa"/>
              <w:left w:w="100" w:type="dxa"/>
              <w:right w:w="100" w:type="dxa"/>
            </w:tcMar>
            <w:shd w:fill="FFFFFF"/>
          </w:tcPr>
          <w:p>
            <w:r>
              <w:rPr>
                <w:rFonts w:ascii="Calibri" w:hAnsi="Calibri"/>
                <w:color w:val="1E293B"/>
                <w:sz w:val="18"/>
              </w:rPr>
              <w:t>CSS3 Custom Properties (Variables)</w:t>
            </w:r>
          </w:p>
        </w:tc>
        <w:tc>
          <w:tcPr>
            <w:tcW w:type="dxa" w:w="3010"/>
            <w:tcMar>
              <w:top w:w="80" w:type="dxa"/>
              <w:bottom w:w="80" w:type="dxa"/>
              <w:left w:w="100" w:type="dxa"/>
              <w:right w:w="100" w:type="dxa"/>
            </w:tcMar>
            <w:shd w:fill="FFFFFF"/>
          </w:tcPr>
          <w:p>
            <w:r>
              <w:rPr>
                <w:rFonts w:ascii="Calibri" w:hAnsi="Calibri"/>
                <w:color w:val="1E293B"/>
                <w:sz w:val="18"/>
              </w:rPr>
              <w:t>Cyber Intelligence dark theme &amp; paper light theme, fluid typography, glass panels</w:t>
            </w:r>
          </w:p>
        </w:tc>
      </w:tr>
      <w:tr>
        <w:tc>
          <w:tcPr>
            <w:tcW w:type="dxa" w:w="3010"/>
            <w:tcMar>
              <w:top w:w="80" w:type="dxa"/>
              <w:bottom w:w="80" w:type="dxa"/>
              <w:left w:w="100" w:type="dxa"/>
              <w:right w:w="100" w:type="dxa"/>
            </w:tcMar>
            <w:shd w:fill="F8FAFC"/>
          </w:tcPr>
          <w:p>
            <w:r>
              <w:rPr>
                <w:rFonts w:ascii="Calibri" w:hAnsi="Calibri"/>
                <w:b/>
                <w:color w:val="0F172A"/>
                <w:sz w:val="18"/>
              </w:rPr>
              <w:t>Logic &amp; Math Engine</w:t>
            </w:r>
          </w:p>
        </w:tc>
        <w:tc>
          <w:tcPr>
            <w:tcW w:type="dxa" w:w="3010"/>
            <w:tcMar>
              <w:top w:w="80" w:type="dxa"/>
              <w:bottom w:w="80" w:type="dxa"/>
              <w:left w:w="100" w:type="dxa"/>
              <w:right w:w="100" w:type="dxa"/>
            </w:tcMar>
            <w:shd w:fill="FFFFFF"/>
          </w:tcPr>
          <w:p>
            <w:r>
              <w:rPr>
                <w:rFonts w:ascii="Calibri" w:hAnsi="Calibri"/>
                <w:color w:val="1E293B"/>
                <w:sz w:val="18"/>
              </w:rPr>
              <w:t>Vanilla JavaScript (ES6+ Modules)</w:t>
            </w:r>
          </w:p>
        </w:tc>
        <w:tc>
          <w:tcPr>
            <w:tcW w:type="dxa" w:w="3010"/>
            <w:tcMar>
              <w:top w:w="80" w:type="dxa"/>
              <w:bottom w:w="80" w:type="dxa"/>
              <w:left w:w="100" w:type="dxa"/>
              <w:right w:w="100" w:type="dxa"/>
            </w:tcMar>
            <w:shd w:fill="FFFFFF"/>
          </w:tcPr>
          <w:p>
            <w:r>
              <w:rPr>
                <w:rFonts w:ascii="Calibri" w:hAnsi="Calibri"/>
                <w:color w:val="1E293B"/>
                <w:sz w:val="18"/>
              </w:rPr>
              <w:t>Pure client-side execution of game-theoretic solvers and logistic contagion loops</w:t>
            </w:r>
          </w:p>
        </w:tc>
      </w:tr>
      <w:tr>
        <w:tc>
          <w:tcPr>
            <w:tcW w:type="dxa" w:w="3010"/>
            <w:tcMar>
              <w:top w:w="80" w:type="dxa"/>
              <w:bottom w:w="80" w:type="dxa"/>
              <w:left w:w="100" w:type="dxa"/>
              <w:right w:w="100" w:type="dxa"/>
            </w:tcMar>
            <w:shd w:fill="F8FAFC"/>
          </w:tcPr>
          <w:p>
            <w:r>
              <w:rPr>
                <w:rFonts w:ascii="Calibri" w:hAnsi="Calibri"/>
                <w:b/>
                <w:color w:val="0F172A"/>
                <w:sz w:val="18"/>
              </w:rPr>
              <w:t>Visualization</w:t>
            </w:r>
          </w:p>
        </w:tc>
        <w:tc>
          <w:tcPr>
            <w:tcW w:type="dxa" w:w="3010"/>
            <w:tcMar>
              <w:top w:w="80" w:type="dxa"/>
              <w:bottom w:w="80" w:type="dxa"/>
              <w:left w:w="100" w:type="dxa"/>
              <w:right w:w="100" w:type="dxa"/>
            </w:tcMar>
            <w:shd w:fill="FFFFFF"/>
          </w:tcPr>
          <w:p>
            <w:r>
              <w:rPr>
                <w:rFonts w:ascii="Calibri" w:hAnsi="Calibri"/>
                <w:color w:val="1E293B"/>
                <w:sz w:val="18"/>
              </w:rPr>
              <w:t>Dynamic Inline SVG &amp; HTML5 Canvas</w:t>
            </w:r>
          </w:p>
        </w:tc>
        <w:tc>
          <w:tcPr>
            <w:tcW w:type="dxa" w:w="3010"/>
            <w:tcMar>
              <w:top w:w="80" w:type="dxa"/>
              <w:bottom w:w="80" w:type="dxa"/>
              <w:left w:w="100" w:type="dxa"/>
              <w:right w:w="100" w:type="dxa"/>
            </w:tcMar>
            <w:shd w:fill="FFFFFF"/>
          </w:tcPr>
          <w:p>
            <w:r>
              <w:rPr>
                <w:rFonts w:ascii="Calibri" w:hAnsi="Calibri"/>
                <w:color w:val="1E293B"/>
                <w:sz w:val="18"/>
              </w:rPr>
              <w:t>Sub-millisecond interactive exposure charts and scale-free network graph rendering</w:t>
            </w:r>
          </w:p>
        </w:tc>
      </w:tr>
      <w:tr>
        <w:tc>
          <w:tcPr>
            <w:tcW w:type="dxa" w:w="3010"/>
            <w:tcMar>
              <w:top w:w="80" w:type="dxa"/>
              <w:bottom w:w="80" w:type="dxa"/>
              <w:left w:w="100" w:type="dxa"/>
              <w:right w:w="100" w:type="dxa"/>
            </w:tcMar>
            <w:shd w:fill="F8FAFC"/>
          </w:tcPr>
          <w:p>
            <w:r>
              <w:rPr>
                <w:rFonts w:ascii="Calibri" w:hAnsi="Calibri"/>
                <w:b/>
                <w:color w:val="0F172A"/>
                <w:sz w:val="18"/>
              </w:rPr>
              <w:t>Animation</w:t>
            </w:r>
          </w:p>
        </w:tc>
        <w:tc>
          <w:tcPr>
            <w:tcW w:type="dxa" w:w="3010"/>
            <w:tcMar>
              <w:top w:w="80" w:type="dxa"/>
              <w:bottom w:w="80" w:type="dxa"/>
              <w:left w:w="100" w:type="dxa"/>
              <w:right w:w="100" w:type="dxa"/>
            </w:tcMar>
            <w:shd w:fill="FFFFFF"/>
          </w:tcPr>
          <w:p>
            <w:r>
              <w:rPr>
                <w:rFonts w:ascii="Calibri" w:hAnsi="Calibri"/>
                <w:color w:val="1E293B"/>
                <w:sz w:val="18"/>
              </w:rPr>
              <w:t>GSAP 3.12 (GreenSock Animation Platform)</w:t>
            </w:r>
          </w:p>
        </w:tc>
        <w:tc>
          <w:tcPr>
            <w:tcW w:type="dxa" w:w="3010"/>
            <w:tcMar>
              <w:top w:w="80" w:type="dxa"/>
              <w:bottom w:w="80" w:type="dxa"/>
              <w:left w:w="100" w:type="dxa"/>
              <w:right w:w="100" w:type="dxa"/>
            </w:tcMar>
            <w:shd w:fill="FFFFFF"/>
          </w:tcPr>
          <w:p>
            <w:r>
              <w:rPr>
                <w:rFonts w:ascii="Calibri" w:hAnsi="Calibri"/>
                <w:color w:val="1E293B"/>
                <w:sz w:val="18"/>
              </w:rPr>
              <w:t>Smooth interactive transitions, live timeline scrubbers, and micro-interactions</w:t>
            </w:r>
          </w:p>
        </w:tc>
      </w:tr>
      <w:tr>
        <w:tc>
          <w:tcPr>
            <w:tcW w:type="dxa" w:w="3010"/>
            <w:tcMar>
              <w:top w:w="80" w:type="dxa"/>
              <w:bottom w:w="80" w:type="dxa"/>
              <w:left w:w="100" w:type="dxa"/>
              <w:right w:w="100" w:type="dxa"/>
            </w:tcMar>
            <w:shd w:fill="F8FAFC"/>
          </w:tcPr>
          <w:p>
            <w:r>
              <w:rPr>
                <w:rFonts w:ascii="Calibri" w:hAnsi="Calibri"/>
                <w:b/>
                <w:color w:val="0F172A"/>
                <w:sz w:val="18"/>
              </w:rPr>
              <w:t>Build Tooling</w:t>
            </w:r>
          </w:p>
        </w:tc>
        <w:tc>
          <w:tcPr>
            <w:tcW w:type="dxa" w:w="3010"/>
            <w:tcMar>
              <w:top w:w="80" w:type="dxa"/>
              <w:bottom w:w="80" w:type="dxa"/>
              <w:left w:w="100" w:type="dxa"/>
              <w:right w:w="100" w:type="dxa"/>
            </w:tcMar>
            <w:shd w:fill="FFFFFF"/>
          </w:tcPr>
          <w:p>
            <w:r>
              <w:rPr>
                <w:rFonts w:ascii="Calibri" w:hAnsi="Calibri"/>
                <w:color w:val="1E293B"/>
                <w:sz w:val="18"/>
              </w:rPr>
              <w:t>Vite 7.3.7</w:t>
            </w:r>
          </w:p>
        </w:tc>
        <w:tc>
          <w:tcPr>
            <w:tcW w:type="dxa" w:w="3010"/>
            <w:tcMar>
              <w:top w:w="80" w:type="dxa"/>
              <w:bottom w:w="80" w:type="dxa"/>
              <w:left w:w="100" w:type="dxa"/>
              <w:right w:w="100" w:type="dxa"/>
            </w:tcMar>
            <w:shd w:fill="FFFFFF"/>
          </w:tcPr>
          <w:p>
            <w:r>
              <w:rPr>
                <w:rFonts w:ascii="Calibri" w:hAnsi="Calibri"/>
                <w:color w:val="1E293B"/>
                <w:sz w:val="18"/>
              </w:rPr>
              <w:t>Ultra-fast bundling, asset optimization, tree-shaking, and static dist compilation</w:t>
            </w:r>
          </w:p>
        </w:tc>
      </w:tr>
      <w:tr>
        <w:tc>
          <w:tcPr>
            <w:tcW w:type="dxa" w:w="3010"/>
            <w:tcMar>
              <w:top w:w="80" w:type="dxa"/>
              <w:bottom w:w="80" w:type="dxa"/>
              <w:left w:w="100" w:type="dxa"/>
              <w:right w:w="100" w:type="dxa"/>
            </w:tcMar>
            <w:shd w:fill="F8FAFC"/>
          </w:tcPr>
          <w:p>
            <w:r>
              <w:rPr>
                <w:rFonts w:ascii="Calibri" w:hAnsi="Calibri"/>
                <w:b/>
                <w:color w:val="0F172A"/>
                <w:sz w:val="18"/>
              </w:rPr>
              <w:t>Cloud Deployment</w:t>
            </w:r>
          </w:p>
        </w:tc>
        <w:tc>
          <w:tcPr>
            <w:tcW w:type="dxa" w:w="3010"/>
            <w:tcMar>
              <w:top w:w="80" w:type="dxa"/>
              <w:bottom w:w="80" w:type="dxa"/>
              <w:left w:w="100" w:type="dxa"/>
              <w:right w:w="100" w:type="dxa"/>
            </w:tcMar>
            <w:shd w:fill="FFFFFF"/>
          </w:tcPr>
          <w:p>
            <w:r>
              <w:rPr>
                <w:rFonts w:ascii="Calibri" w:hAnsi="Calibri"/>
                <w:color w:val="1E293B"/>
                <w:sz w:val="18"/>
              </w:rPr>
              <w:t>Vercel Edge Network</w:t>
            </w:r>
          </w:p>
        </w:tc>
        <w:tc>
          <w:tcPr>
            <w:tcW w:type="dxa" w:w="3010"/>
            <w:tcMar>
              <w:top w:w="80" w:type="dxa"/>
              <w:bottom w:w="80" w:type="dxa"/>
              <w:left w:w="100" w:type="dxa"/>
              <w:right w:w="100" w:type="dxa"/>
            </w:tcMar>
            <w:shd w:fill="FFFFFF"/>
          </w:tcPr>
          <w:p>
            <w:r>
              <w:rPr>
                <w:rFonts w:ascii="Calibri" w:hAnsi="Calibri"/>
                <w:color w:val="1E293B"/>
                <w:sz w:val="18"/>
              </w:rPr>
              <w:t>Zero-configuration automated CI/CD pipeline and global CDN distribution</w:t>
            </w:r>
          </w:p>
        </w:tc>
      </w:tr>
    </w:tbl>
    <w:p>
      <w:pPr>
        <w:spacing w:after="120"/>
      </w:pPr>
    </w:p>
    <w:p>
      <w:pPr>
        <w:keepNext/>
        <w:spacing w:before="360" w:after="120"/>
      </w:pPr>
      <w:r>
        <w:rPr>
          <w:rFonts w:ascii="Georgia" w:hAnsi="Georgia"/>
          <w:b/>
          <w:color w:val="0F172A"/>
          <w:sz w:val="32"/>
        </w:rPr>
        <w:t>6. Methodology and Mathematical Model</w:t>
      </w:r>
    </w:p>
    <w:p>
      <w:pPr>
        <w:keepNext/>
        <w:spacing w:before="240" w:after="80"/>
      </w:pPr>
      <w:r>
        <w:rPr>
          <w:rFonts w:ascii="Calibri" w:hAnsi="Calibri"/>
          <w:b/>
          <w:color w:val="0284C7"/>
          <w:sz w:val="26"/>
        </w:rPr>
        <w:t>6.1 Overall Methodology Workflow</w:t>
      </w:r>
    </w:p>
    <w:p>
      <w:pPr>
        <w:spacing w:before="0" w:after="100" w:line="276" w:lineRule="auto"/>
      </w:pPr>
      <w:r>
        <w:rPr>
          <w:rFonts w:ascii="Calibri" w:hAnsi="Calibri"/>
          <w:color w:val="1E293B"/>
          <w:sz w:val="22"/>
        </w:rPr>
        <w:t>The project follows a structured seven-stage operational workflow:</w:t>
        <w:br/>
        <w:t>Stage 1: Problem Definition &amp; Player Abstraction → Characterize content sharer virality incentives and platform moderation costs.</w:t>
        <w:br/>
        <w:t>Stage 2: Normal-Form Game Formulation → Establish discrete action spaces and calibrate the 2×2 utility payoff matrix.</w:t>
        <w:br/>
        <w:t>Stage 3: Strategic Equilibrium Analysis → Compute best-response sets, strict dominance, IESDS reduction, and pure Nash equilibria.</w:t>
        <w:br/>
        <w:t>Stage 4: Discrete Contagion Modeling → Formulate the bounded discrete non-linear logistic recurrence with platform moderation damping.</w:t>
        <w:br/>
        <w:t>Stage 5: Epidemiological Exposure Quantification → Measure baseline outbreak saturation, moderated spread, exposure reduction, and prevented infections.</w:t>
        <w:br/>
        <w:t>Stage 6: Interactive Web Interface Implementation → Build responsive glass-panel controls, live SVG charts, and dual-theme accessibility.</w:t>
        <w:br/>
        <w:t>Stage 7: Production Build &amp; Cloud Deployment → Optimize bundle through Vite and deploy on the Vercel edge network.</w:t>
      </w:r>
    </w:p>
    <w:p>
      <w:pPr>
        <w:keepNext/>
        <w:spacing w:before="240" w:after="80"/>
      </w:pPr>
      <w:r>
        <w:rPr>
          <w:rFonts w:ascii="Calibri" w:hAnsi="Calibri"/>
          <w:b/>
          <w:color w:val="0284C7"/>
          <w:sz w:val="26"/>
        </w:rPr>
        <w:t>6.2 Strategic Game Formulation</w:t>
      </w:r>
    </w:p>
    <w:p>
      <w:pPr>
        <w:spacing w:before="0" w:after="100" w:line="276" w:lineRule="auto"/>
      </w:pPr>
      <w:r>
        <w:rPr>
          <w:rFonts w:ascii="Calibri" w:hAnsi="Calibri"/>
          <w:color w:val="1E293B"/>
          <w:sz w:val="22"/>
        </w:rPr>
        <w:t>The strategic model assumes non-cooperative simultaneous play. The Content Sharer chooses s ∈ S_1 = {Spread (S), Do Not Spread (N)}, and the Platform chooses p ∈ S_2 = {Weak Moderation (W), Strong Moderation (M)}. Payoffs are denoted by the vector u(s, p) = (u_1(s, p), u_2(s, p)). The game solver evaluates strict dominance and Nash stability directly from client-side JavaScript, enabling instant re-evaluation whenever users modify payoff numbers.</w:t>
      </w:r>
    </w:p>
    <w:p>
      <w:pPr>
        <w:keepNext/>
        <w:spacing w:before="240" w:after="80"/>
      </w:pPr>
      <w:r>
        <w:rPr>
          <w:rFonts w:ascii="Calibri" w:hAnsi="Calibri"/>
          <w:b/>
          <w:color w:val="0284C7"/>
          <w:sz w:val="26"/>
        </w:rPr>
        <w:t>6.3 Discrete Logistic Fake-News Propagation Model</w:t>
      </w:r>
    </w:p>
    <w:p>
      <w:pPr>
        <w:spacing w:before="0" w:after="100" w:line="276" w:lineRule="auto"/>
      </w:pPr>
      <w:r>
        <w:rPr>
          <w:rFonts w:ascii="Calibri" w:hAnsi="Calibri"/>
          <w:color w:val="1E293B"/>
          <w:sz w:val="22"/>
        </w:rPr>
        <w:t>In epidemiological and social diffusion theory, information spread across a finite susceptible population is governed by logistic growth. To match the discrete simulation steps implemented in the web application, the macroscopic exposure is modeled by the recurrence relation:</w:t>
      </w:r>
    </w:p>
    <w:tbl>
      <w:tblPr>
        <w:tblW w:type="auto" w:w="0"/>
        <w:jc w:val="center"/>
        <w:tblLook w:firstColumn="1" w:firstRow="1" w:lastColumn="0" w:lastRow="0" w:noHBand="0" w:noVBand="1" w:val="04A0"/>
      </w:tblPr>
      <w:tblGrid>
        <w:gridCol w:w="9029"/>
      </w:tblGrid>
      <w:tr>
        <w:tc>
          <w:tcPr>
            <w:tcW w:type="dxa" w:w="9029"/>
            <w:shd w:fill="F8FAFC"/>
            <w:tcMar>
              <w:top w:w="120" w:type="dxa"/>
              <w:bottom w:w="120" w:type="dxa"/>
              <w:left w:w="180" w:type="dxa"/>
              <w:right w:w="180" w:type="dxa"/>
            </w:tcMar>
            <w:tcBorders>
              <w:left w:val="single" w:sz="18" w:space="0" w:color="94A3B8"/>
              <w:top w:val="single" w:sz="4" w:space="0" w:color="E2E8F0"/>
              <w:right w:val="single" w:sz="4" w:space="0" w:color="E2E8F0"/>
              <w:bottom w:val="single" w:sz="4" w:space="0" w:color="E2E8F0"/>
            </w:tcBorders>
          </w:tcPr>
          <w:p>
            <w:pPr>
              <w:spacing w:before="0" w:after="0"/>
              <w:jc w:val="center"/>
            </w:pPr>
            <w:r>
              <w:rPr>
                <w:rFonts w:ascii="Cambria Math" w:hAnsi="Cambria Math"/>
                <w:b/>
                <w:color w:val="0F172A"/>
                <w:sz w:val="23"/>
              </w:rPr>
              <w:t>I_{t+1} = min( N, max( 0, I_t + β · (1 - m) · I_t · (1 - I_t / N) ) )</w:t>
            </w:r>
            <w:r>
              <w:rPr>
                <w:rFonts w:ascii="Calibri" w:hAnsi="Calibri"/>
                <w:color w:val="64748B"/>
                <w:sz w:val="19"/>
              </w:rPr>
              <w:t xml:space="preserve">    (Equation 1: Discrete Logistic Contagion Recurrence)</w:t>
            </w:r>
          </w:p>
        </w:tc>
      </w:tr>
    </w:tbl>
    <w:p>
      <w:pPr>
        <w:spacing w:after="80"/>
      </w:pPr>
    </w:p>
    <w:p>
      <w:pPr>
        <w:spacing w:before="0" w:after="100" w:line="276" w:lineRule="auto"/>
      </w:pPr>
      <w:r>
        <w:rPr>
          <w:rFonts w:ascii="Calibri" w:hAnsi="Calibri"/>
          <w:color w:val="1E293B"/>
          <w:sz w:val="22"/>
        </w:rPr>
        <w:t>Where each mathematical term is defined as follows:</w:t>
        <w:br/>
        <w:t>• N: Total population of simulated social network users (carrying capacity ceiling, default N = 10,000).</w:t>
        <w:br/>
        <w:t>• I_t: Cumulative number of individuals exposed to the false narrative at observation time step t.</w:t>
        <w:br/>
        <w:t>• I_0: Initial quantity of seed spreaders initiating the narrative (default I_0 = 100).</w:t>
        <w:br/>
        <w:t>• β: Baseline peer-to-peer sharing propensity (transmission coefficient, default β = 0.35).</w:t>
        <w:br/>
        <w:t>• m: Platform moderation effectiveness, bounded strictly within m ∈ [0, 1] (default active policy m = 0.50).</w:t>
        <w:br/>
        <w:t>• (1 - m): Moderation attenuation factor representing the fraction of viral transmissions that evade detection.</w:t>
        <w:br/>
        <w:t>• (1 - I_t / N): Depletion factor accounting for diminishing susceptible users as the population saturates.</w:t>
        <w:br/>
        <w:t>• min(N, max(0, ·)): Exact mathematical boundary clamp guaranteeing that cumulative exposure never exceeds population N or falls below 0.</w:t>
      </w:r>
    </w:p>
    <w:p>
      <w:pPr>
        <w:keepNext/>
        <w:spacing w:before="240" w:after="80"/>
      </w:pPr>
      <w:r>
        <w:rPr>
          <w:rFonts w:ascii="Calibri" w:hAnsi="Calibri"/>
          <w:b/>
          <w:color w:val="0284C7"/>
          <w:sz w:val="26"/>
        </w:rPr>
        <w:t>6.4 Quantitative Evaluation Metrics</w:t>
      </w:r>
    </w:p>
    <w:p>
      <w:pPr>
        <w:spacing w:before="0" w:after="100" w:line="276" w:lineRule="auto"/>
      </w:pPr>
      <w:r>
        <w:rPr>
          <w:rFonts w:ascii="Calibri" w:hAnsi="Calibri"/>
          <w:color w:val="1E293B"/>
          <w:sz w:val="22"/>
        </w:rPr>
        <w:t>The simulation quantifies the impact of platform intervention using three primary epidemiological metrics:</w:t>
      </w:r>
    </w:p>
    <w:p>
      <w:pPr>
        <w:spacing w:before="0" w:after="100" w:line="276" w:lineRule="auto"/>
      </w:pPr>
      <w:r>
        <w:rPr>
          <w:rFonts w:ascii="Calibri" w:hAnsi="Calibri"/>
          <w:b/>
          <w:color w:val="0F172A"/>
          <w:sz w:val="22"/>
        </w:rPr>
        <w:t xml:space="preserve">Metric 1: </w:t>
      </w:r>
      <w:r>
        <w:rPr>
          <w:rFonts w:ascii="Calibri" w:hAnsi="Calibri"/>
          <w:color w:val="1E293B"/>
          <w:sz w:val="22"/>
        </w:rPr>
        <w:t>1. Final Cumulative Exposure (I_T): Total population reached by the narrative at terminal step T = 30.</w:t>
      </w:r>
    </w:p>
    <w:p>
      <w:pPr>
        <w:spacing w:before="0" w:after="100" w:line="276" w:lineRule="auto"/>
      </w:pPr>
      <w:r>
        <w:rPr>
          <w:rFonts w:ascii="Calibri" w:hAnsi="Calibri"/>
          <w:b/>
          <w:color w:val="0F172A"/>
          <w:sz w:val="22"/>
        </w:rPr>
        <w:t xml:space="preserve">Metric 2: </w:t>
      </w:r>
      <w:r>
        <w:rPr>
          <w:rFonts w:ascii="Calibri" w:hAnsi="Calibri"/>
          <w:color w:val="1E293B"/>
          <w:sz w:val="22"/>
        </w:rPr>
        <w:t>2. Infections Prevented (Saved Users): Absolute quantity of users shielded from false information compared to the unmitigated baseline:</w:t>
      </w:r>
    </w:p>
    <w:tbl>
      <w:tblPr>
        <w:tblW w:type="auto" w:w="0"/>
        <w:jc w:val="center"/>
        <w:tblLook w:firstColumn="1" w:firstRow="1" w:lastColumn="0" w:lastRow="0" w:noHBand="0" w:noVBand="1" w:val="04A0"/>
      </w:tblPr>
      <w:tblGrid>
        <w:gridCol w:w="9029"/>
      </w:tblGrid>
      <w:tr>
        <w:tc>
          <w:tcPr>
            <w:tcW w:type="dxa" w:w="9029"/>
            <w:shd w:fill="F8FAFC"/>
            <w:tcMar>
              <w:top w:w="120" w:type="dxa"/>
              <w:bottom w:w="120" w:type="dxa"/>
              <w:left w:w="180" w:type="dxa"/>
              <w:right w:w="180" w:type="dxa"/>
            </w:tcMar>
            <w:tcBorders>
              <w:left w:val="single" w:sz="18" w:space="0" w:color="94A3B8"/>
              <w:top w:val="single" w:sz="4" w:space="0" w:color="E2E8F0"/>
              <w:right w:val="single" w:sz="4" w:space="0" w:color="E2E8F0"/>
              <w:bottom w:val="single" w:sz="4" w:space="0" w:color="E2E8F0"/>
            </w:tcBorders>
          </w:tcPr>
          <w:p>
            <w:pPr>
              <w:spacing w:before="0" w:after="0"/>
              <w:jc w:val="center"/>
            </w:pPr>
            <w:r>
              <w:rPr>
                <w:rFonts w:ascii="Cambria Math" w:hAnsi="Cambria Math"/>
                <w:b/>
                <w:color w:val="0F172A"/>
                <w:sz w:val="23"/>
              </w:rPr>
              <w:t>Infections Prevented = E_{baseline} - E_{moderated} = I_T(m = 0.00) - I_T(m = 0.50)</w:t>
            </w:r>
            <w:r>
              <w:rPr>
                <w:rFonts w:ascii="Calibri" w:hAnsi="Calibri"/>
                <w:color w:val="64748B"/>
                <w:sz w:val="19"/>
              </w:rPr>
              <w:t xml:space="preserve">    (Equation 2: Infections Prevented)</w:t>
            </w:r>
          </w:p>
        </w:tc>
      </w:tr>
    </w:tbl>
    <w:p>
      <w:pPr>
        <w:spacing w:after="80"/>
      </w:pPr>
    </w:p>
    <w:p>
      <w:pPr>
        <w:spacing w:before="0" w:after="100" w:line="276" w:lineRule="auto"/>
      </w:pPr>
      <w:r>
        <w:rPr>
          <w:rFonts w:ascii="Calibri" w:hAnsi="Calibri"/>
          <w:b/>
          <w:color w:val="0F172A"/>
          <w:sz w:val="22"/>
        </w:rPr>
        <w:t xml:space="preserve">Metric 3: </w:t>
      </w:r>
      <w:r>
        <w:rPr>
          <w:rFonts w:ascii="Calibri" w:hAnsi="Calibri"/>
          <w:color w:val="1E293B"/>
          <w:sz w:val="22"/>
        </w:rPr>
        <w:t>3. Exposure Reduction Percentage (%): Relative proportion of potential contagion suppressed by defensive moderation:</w:t>
      </w:r>
    </w:p>
    <w:tbl>
      <w:tblPr>
        <w:tblW w:type="auto" w:w="0"/>
        <w:jc w:val="center"/>
        <w:tblLook w:firstColumn="1" w:firstRow="1" w:lastColumn="0" w:lastRow="0" w:noHBand="0" w:noVBand="1" w:val="04A0"/>
      </w:tblPr>
      <w:tblGrid>
        <w:gridCol w:w="9029"/>
      </w:tblGrid>
      <w:tr>
        <w:tc>
          <w:tcPr>
            <w:tcW w:type="dxa" w:w="9029"/>
            <w:shd w:fill="F8FAFC"/>
            <w:tcMar>
              <w:top w:w="120" w:type="dxa"/>
              <w:bottom w:w="120" w:type="dxa"/>
              <w:left w:w="180" w:type="dxa"/>
              <w:right w:w="180" w:type="dxa"/>
            </w:tcMar>
            <w:tcBorders>
              <w:left w:val="single" w:sz="18" w:space="0" w:color="94A3B8"/>
              <w:top w:val="single" w:sz="4" w:space="0" w:color="E2E8F0"/>
              <w:right w:val="single" w:sz="4" w:space="0" w:color="E2E8F0"/>
              <w:bottom w:val="single" w:sz="4" w:space="0" w:color="E2E8F0"/>
            </w:tcBorders>
          </w:tcPr>
          <w:p>
            <w:pPr>
              <w:spacing w:before="0" w:after="0"/>
              <w:jc w:val="center"/>
            </w:pPr>
            <w:r>
              <w:rPr>
                <w:rFonts w:ascii="Cambria Math" w:hAnsi="Cambria Math"/>
                <w:b/>
                <w:color w:val="0F172A"/>
                <w:sz w:val="23"/>
              </w:rPr>
              <w:t>Exposure Reduction (%) = [ ( E_{baseline} - E_{moderated} ) / E_{baseline} ] × 100%</w:t>
            </w:r>
            <w:r>
              <w:rPr>
                <w:rFonts w:ascii="Calibri" w:hAnsi="Calibri"/>
                <w:color w:val="64748B"/>
                <w:sz w:val="19"/>
              </w:rPr>
              <w:t xml:space="preserve">    (Equation 3: Percentage Exposure Reduction)</w:t>
            </w:r>
          </w:p>
        </w:tc>
      </w:tr>
    </w:tbl>
    <w:p>
      <w:pPr>
        <w:spacing w:after="80"/>
      </w:pPr>
    </w:p>
    <w:p>
      <w:pPr>
        <w:keepNext/>
        <w:spacing w:before="240" w:after="80"/>
      </w:pPr>
      <w:r>
        <w:rPr>
          <w:rFonts w:ascii="Calibri" w:hAnsi="Calibri"/>
          <w:b/>
          <w:color w:val="0284C7"/>
          <w:sz w:val="26"/>
        </w:rPr>
        <w:t>6.5 Coupling Between Game Theory and Simulation</w:t>
      </w:r>
    </w:p>
    <w:p>
      <w:pPr>
        <w:spacing w:before="0" w:after="100" w:line="276" w:lineRule="auto"/>
      </w:pPr>
      <w:r>
        <w:rPr>
          <w:rFonts w:ascii="Calibri" w:hAnsi="Calibri"/>
          <w:color w:val="1E293B"/>
          <w:sz w:val="22"/>
        </w:rPr>
        <w:t>A critical academic contribution of this project is the conceptual linkage between strategic incentives and contagion curves. The payoff matrix determines strategic feasibility: whether the platform possesses a credible, self-enforcing threat that deters rational sharers. The logistic propagation model visualizes the operational consequence: what happens to the human network if deterrence succeeds (or if the platform falters). The dashboard bridges both levels of analysis on a single responsive interface.</w:t>
      </w:r>
    </w:p>
    <w:p>
      <w:r>
        <w:br w:type="page"/>
      </w:r>
    </w:p>
    <w:p>
      <w:pPr>
        <w:keepNext/>
        <w:spacing w:before="360" w:after="120"/>
      </w:pPr>
      <w:r>
        <w:rPr>
          <w:rFonts w:ascii="Georgia" w:hAnsi="Georgia"/>
          <w:b/>
          <w:color w:val="0F172A"/>
          <w:sz w:val="32"/>
        </w:rPr>
        <w:t>7. System Design</w:t>
      </w:r>
    </w:p>
    <w:p>
      <w:pPr>
        <w:spacing w:before="0" w:after="100" w:line="276" w:lineRule="auto"/>
      </w:pPr>
      <w:r>
        <w:rPr>
          <w:rFonts w:ascii="Calibri" w:hAnsi="Calibri"/>
          <w:color w:val="1E293B"/>
          <w:sz w:val="22"/>
        </w:rPr>
        <w:t>The web application is structured around a modular, decoupled, event-driven architecture. Because the entire engine runs on modern browser standards, calculation and rendering occur with zero network round-trip latency.</w:t>
      </w:r>
    </w:p>
    <w:tbl>
      <w:tblPr>
        <w:tblW w:type="auto" w:w="0"/>
        <w:jc w:val="center"/>
        <w:tblLayout w:type="fixed"/>
        <w:tblLook w:firstColumn="1" w:firstRow="1" w:lastColumn="0" w:lastRow="0" w:noHBand="0" w:noVBand="1" w:val="04A0"/>
      </w:tblPr>
      <w:tblGrid>
        <w:gridCol w:w="3010"/>
        <w:gridCol w:w="3010"/>
        <w:gridCol w:w="3010"/>
      </w:tblGrid>
      <w:tr>
        <w:tc>
          <w:tcPr>
            <w:tcW w:type="dxa" w:w="3010"/>
            <w:shd w:fill="0F172A"/>
            <w:tcMar>
              <w:top w:w="100" w:type="dxa"/>
              <w:bottom w:w="100" w:type="dxa"/>
              <w:left w:w="100" w:type="dxa"/>
              <w:right w:w="100" w:type="dxa"/>
            </w:tcMar>
          </w:tcPr>
          <w:p>
            <w:pPr>
              <w:jc w:val="center"/>
            </w:pPr>
            <w:r>
              <w:rPr>
                <w:rFonts w:ascii="Calibri" w:hAnsi="Calibri"/>
                <w:b/>
                <w:color w:val="FFFFFF"/>
                <w:sz w:val="19"/>
              </w:rPr>
              <w:t>Architecture Layer</w:t>
            </w:r>
          </w:p>
        </w:tc>
        <w:tc>
          <w:tcPr>
            <w:tcW w:type="dxa" w:w="3010"/>
            <w:shd w:fill="0F172A"/>
            <w:tcMar>
              <w:top w:w="100" w:type="dxa"/>
              <w:bottom w:w="100" w:type="dxa"/>
              <w:left w:w="100" w:type="dxa"/>
              <w:right w:w="100" w:type="dxa"/>
            </w:tcMar>
          </w:tcPr>
          <w:p>
            <w:pPr>
              <w:jc w:val="center"/>
            </w:pPr>
            <w:r>
              <w:rPr>
                <w:rFonts w:ascii="Calibri" w:hAnsi="Calibri"/>
                <w:b/>
                <w:color w:val="FFFFFF"/>
                <w:sz w:val="19"/>
              </w:rPr>
              <w:t>Primary Modules</w:t>
            </w:r>
          </w:p>
        </w:tc>
        <w:tc>
          <w:tcPr>
            <w:tcW w:type="dxa" w:w="3010"/>
            <w:shd w:fill="0F172A"/>
            <w:tcMar>
              <w:top w:w="100" w:type="dxa"/>
              <w:bottom w:w="100" w:type="dxa"/>
              <w:left w:w="100" w:type="dxa"/>
              <w:right w:w="100" w:type="dxa"/>
            </w:tcMar>
          </w:tcPr>
          <w:p>
            <w:pPr>
              <w:jc w:val="center"/>
            </w:pPr>
            <w:r>
              <w:rPr>
                <w:rFonts w:ascii="Calibri" w:hAnsi="Calibri"/>
                <w:b/>
                <w:color w:val="FFFFFF"/>
                <w:sz w:val="19"/>
              </w:rPr>
              <w:t>Core Responsibilities</w:t>
            </w:r>
          </w:p>
        </w:tc>
      </w:tr>
      <w:tr>
        <w:tc>
          <w:tcPr>
            <w:tcW w:type="dxa" w:w="3010"/>
            <w:tcMar>
              <w:top w:w="80" w:type="dxa"/>
              <w:bottom w:w="80" w:type="dxa"/>
              <w:left w:w="100" w:type="dxa"/>
              <w:right w:w="100" w:type="dxa"/>
            </w:tcMar>
            <w:shd w:fill="F8FAFC"/>
          </w:tcPr>
          <w:p>
            <w:r>
              <w:rPr>
                <w:rFonts w:ascii="Calibri" w:hAnsi="Calibri"/>
                <w:b/>
                <w:color w:val="0F172A"/>
                <w:sz w:val="18"/>
              </w:rPr>
              <w:t>Presentation Layer</w:t>
            </w:r>
          </w:p>
        </w:tc>
        <w:tc>
          <w:tcPr>
            <w:tcW w:type="dxa" w:w="3010"/>
            <w:tcMar>
              <w:top w:w="80" w:type="dxa"/>
              <w:bottom w:w="80" w:type="dxa"/>
              <w:left w:w="100" w:type="dxa"/>
              <w:right w:w="100" w:type="dxa"/>
            </w:tcMar>
            <w:shd w:fill="FFFFFF"/>
          </w:tcPr>
          <w:p>
            <w:r>
              <w:rPr>
                <w:rFonts w:ascii="Calibri" w:hAnsi="Calibri"/>
                <w:color w:val="1E293B"/>
                <w:sz w:val="18"/>
              </w:rPr>
              <w:t>index.html, style.css</w:t>
            </w:r>
          </w:p>
        </w:tc>
        <w:tc>
          <w:tcPr>
            <w:tcW w:type="dxa" w:w="3010"/>
            <w:tcMar>
              <w:top w:w="80" w:type="dxa"/>
              <w:bottom w:w="80" w:type="dxa"/>
              <w:left w:w="100" w:type="dxa"/>
              <w:right w:w="100" w:type="dxa"/>
            </w:tcMar>
            <w:shd w:fill="FFFFFF"/>
          </w:tcPr>
          <w:p>
            <w:r>
              <w:rPr>
                <w:rFonts w:ascii="Calibri" w:hAnsi="Calibri"/>
                <w:color w:val="1E293B"/>
                <w:sz w:val="18"/>
              </w:rPr>
              <w:t>Renders responsive glass-morphism panels, dark/light theme CSS variables, accessible slider controls</w:t>
            </w:r>
          </w:p>
        </w:tc>
      </w:tr>
      <w:tr>
        <w:tc>
          <w:tcPr>
            <w:tcW w:type="dxa" w:w="3010"/>
            <w:tcMar>
              <w:top w:w="80" w:type="dxa"/>
              <w:bottom w:w="80" w:type="dxa"/>
              <w:left w:w="100" w:type="dxa"/>
              <w:right w:w="100" w:type="dxa"/>
            </w:tcMar>
            <w:shd w:fill="F8FAFC"/>
          </w:tcPr>
          <w:p>
            <w:r>
              <w:rPr>
                <w:rFonts w:ascii="Calibri" w:hAnsi="Calibri"/>
                <w:b/>
                <w:color w:val="0F172A"/>
                <w:sz w:val="18"/>
              </w:rPr>
              <w:t>Controller &amp; Dispatcher</w:t>
            </w:r>
          </w:p>
        </w:tc>
        <w:tc>
          <w:tcPr>
            <w:tcW w:type="dxa" w:w="3010"/>
            <w:tcMar>
              <w:top w:w="80" w:type="dxa"/>
              <w:bottom w:w="80" w:type="dxa"/>
              <w:left w:w="100" w:type="dxa"/>
              <w:right w:w="100" w:type="dxa"/>
            </w:tcMar>
            <w:shd w:fill="FFFFFF"/>
          </w:tcPr>
          <w:p>
            <w:r>
              <w:rPr>
                <w:rFonts w:ascii="Calibri" w:hAnsi="Calibri"/>
                <w:color w:val="1E293B"/>
                <w:sz w:val="18"/>
              </w:rPr>
              <w:t>src/main.js</w:t>
            </w:r>
          </w:p>
        </w:tc>
        <w:tc>
          <w:tcPr>
            <w:tcW w:type="dxa" w:w="3010"/>
            <w:tcMar>
              <w:top w:w="80" w:type="dxa"/>
              <w:bottom w:w="80" w:type="dxa"/>
              <w:left w:w="100" w:type="dxa"/>
              <w:right w:w="100" w:type="dxa"/>
            </w:tcMar>
            <w:shd w:fill="FFFFFF"/>
          </w:tcPr>
          <w:p>
            <w:r>
              <w:rPr>
                <w:rFonts w:ascii="Calibri" w:hAnsi="Calibri"/>
                <w:color w:val="1E293B"/>
                <w:sz w:val="18"/>
              </w:rPr>
              <w:t>Manages user input events, coordinates DOM updates, triggers chart redraws, and initializes GSAP animations</w:t>
            </w:r>
          </w:p>
        </w:tc>
      </w:tr>
      <w:tr>
        <w:tc>
          <w:tcPr>
            <w:tcW w:type="dxa" w:w="3010"/>
            <w:tcMar>
              <w:top w:w="80" w:type="dxa"/>
              <w:bottom w:w="80" w:type="dxa"/>
              <w:left w:w="100" w:type="dxa"/>
              <w:right w:w="100" w:type="dxa"/>
            </w:tcMar>
            <w:shd w:fill="F8FAFC"/>
          </w:tcPr>
          <w:p>
            <w:r>
              <w:rPr>
                <w:rFonts w:ascii="Calibri" w:hAnsi="Calibri"/>
                <w:b/>
                <w:color w:val="0F172A"/>
                <w:sz w:val="18"/>
              </w:rPr>
              <w:t>Game Theory Engine</w:t>
            </w:r>
          </w:p>
        </w:tc>
        <w:tc>
          <w:tcPr>
            <w:tcW w:type="dxa" w:w="3010"/>
            <w:tcMar>
              <w:top w:w="80" w:type="dxa"/>
              <w:bottom w:w="80" w:type="dxa"/>
              <w:left w:w="100" w:type="dxa"/>
              <w:right w:w="100" w:type="dxa"/>
            </w:tcMar>
            <w:shd w:fill="FFFFFF"/>
          </w:tcPr>
          <w:p>
            <w:r>
              <w:rPr>
                <w:rFonts w:ascii="Calibri" w:hAnsi="Calibri"/>
                <w:color w:val="1E293B"/>
                <w:sz w:val="18"/>
              </w:rPr>
              <w:t>src/model.js (analyse, deviations)</w:t>
            </w:r>
          </w:p>
        </w:tc>
        <w:tc>
          <w:tcPr>
            <w:tcW w:type="dxa" w:w="3010"/>
            <w:tcMar>
              <w:top w:w="80" w:type="dxa"/>
              <w:bottom w:w="80" w:type="dxa"/>
              <w:left w:w="100" w:type="dxa"/>
              <w:right w:w="100" w:type="dxa"/>
            </w:tcMar>
            <w:shd w:fill="FFFFFF"/>
          </w:tcPr>
          <w:p>
            <w:r>
              <w:rPr>
                <w:rFonts w:ascii="Calibri" w:hAnsi="Calibri"/>
                <w:color w:val="1E293B"/>
                <w:sz w:val="18"/>
              </w:rPr>
              <w:t>Computes best responses, strictly dominant strategies, Nash equilibrium, and payoff deviation incentives</w:t>
            </w:r>
          </w:p>
        </w:tc>
      </w:tr>
      <w:tr>
        <w:tc>
          <w:tcPr>
            <w:tcW w:type="dxa" w:w="3010"/>
            <w:tcMar>
              <w:top w:w="80" w:type="dxa"/>
              <w:bottom w:w="80" w:type="dxa"/>
              <w:left w:w="100" w:type="dxa"/>
              <w:right w:w="100" w:type="dxa"/>
            </w:tcMar>
            <w:shd w:fill="F8FAFC"/>
          </w:tcPr>
          <w:p>
            <w:r>
              <w:rPr>
                <w:rFonts w:ascii="Calibri" w:hAnsi="Calibri"/>
                <w:b/>
                <w:color w:val="0F172A"/>
                <w:sz w:val="18"/>
              </w:rPr>
              <w:t>Contagion Engine</w:t>
            </w:r>
          </w:p>
        </w:tc>
        <w:tc>
          <w:tcPr>
            <w:tcW w:type="dxa" w:w="3010"/>
            <w:tcMar>
              <w:top w:w="80" w:type="dxa"/>
              <w:bottom w:w="80" w:type="dxa"/>
              <w:left w:w="100" w:type="dxa"/>
              <w:right w:w="100" w:type="dxa"/>
            </w:tcMar>
            <w:shd w:fill="FFFFFF"/>
          </w:tcPr>
          <w:p>
            <w:r>
              <w:rPr>
                <w:rFonts w:ascii="Calibri" w:hAnsi="Calibri"/>
                <w:color w:val="1E293B"/>
                <w:sz w:val="18"/>
              </w:rPr>
              <w:t>src/model.js (logistic)</w:t>
            </w:r>
          </w:p>
        </w:tc>
        <w:tc>
          <w:tcPr>
            <w:tcW w:type="dxa" w:w="3010"/>
            <w:tcMar>
              <w:top w:w="80" w:type="dxa"/>
              <w:bottom w:w="80" w:type="dxa"/>
              <w:left w:w="100" w:type="dxa"/>
              <w:right w:w="100" w:type="dxa"/>
            </w:tcMar>
            <w:shd w:fill="FFFFFF"/>
          </w:tcPr>
          <w:p>
            <w:r>
              <w:rPr>
                <w:rFonts w:ascii="Calibri" w:hAnsi="Calibri"/>
                <w:color w:val="1E293B"/>
                <w:sz w:val="18"/>
              </w:rPr>
              <w:t>Executes discrete logistic exposure simulation loops, validates bounds, and computes baseline vs. policy curves</w:t>
            </w:r>
          </w:p>
        </w:tc>
      </w:tr>
      <w:tr>
        <w:tc>
          <w:tcPr>
            <w:tcW w:type="dxa" w:w="3010"/>
            <w:tcMar>
              <w:top w:w="80" w:type="dxa"/>
              <w:bottom w:w="80" w:type="dxa"/>
              <w:left w:w="100" w:type="dxa"/>
              <w:right w:w="100" w:type="dxa"/>
            </w:tcMar>
            <w:shd w:fill="F8FAFC"/>
          </w:tcPr>
          <w:p>
            <w:r>
              <w:rPr>
                <w:rFonts w:ascii="Calibri" w:hAnsi="Calibri"/>
                <w:b/>
                <w:color w:val="0F172A"/>
                <w:sz w:val="18"/>
              </w:rPr>
              <w:t>Network Graph Visualizer</w:t>
            </w:r>
          </w:p>
        </w:tc>
        <w:tc>
          <w:tcPr>
            <w:tcW w:type="dxa" w:w="3010"/>
            <w:tcMar>
              <w:top w:w="80" w:type="dxa"/>
              <w:bottom w:w="80" w:type="dxa"/>
              <w:left w:w="100" w:type="dxa"/>
              <w:right w:w="100" w:type="dxa"/>
            </w:tcMar>
            <w:shd w:fill="FFFFFF"/>
          </w:tcPr>
          <w:p>
            <w:r>
              <w:rPr>
                <w:rFonts w:ascii="Calibri" w:hAnsi="Calibri"/>
                <w:color w:val="1E293B"/>
                <w:sz w:val="18"/>
              </w:rPr>
              <w:t>src/model.js (makeGraph, runNetwork)</w:t>
            </w:r>
          </w:p>
        </w:tc>
        <w:tc>
          <w:tcPr>
            <w:tcW w:type="dxa" w:w="3010"/>
            <w:tcMar>
              <w:top w:w="80" w:type="dxa"/>
              <w:bottom w:w="80" w:type="dxa"/>
              <w:left w:w="100" w:type="dxa"/>
              <w:right w:w="100" w:type="dxa"/>
            </w:tcMar>
            <w:shd w:fill="FFFFFF"/>
          </w:tcPr>
          <w:p>
            <w:r>
              <w:rPr>
                <w:rFonts w:ascii="Calibri" w:hAnsi="Calibri"/>
                <w:color w:val="1E293B"/>
                <w:sz w:val="18"/>
              </w:rPr>
              <w:t>Simulates microscopic peer-to-peer packet transmission across synthetic scale-free network topologies</w:t>
            </w:r>
          </w:p>
        </w:tc>
      </w:tr>
      <w:tr>
        <w:tc>
          <w:tcPr>
            <w:tcW w:type="dxa" w:w="3010"/>
            <w:tcMar>
              <w:top w:w="80" w:type="dxa"/>
              <w:bottom w:w="80" w:type="dxa"/>
              <w:left w:w="100" w:type="dxa"/>
              <w:right w:w="100" w:type="dxa"/>
            </w:tcMar>
            <w:shd w:fill="F8FAFC"/>
          </w:tcPr>
          <w:p>
            <w:r>
              <w:rPr>
                <w:rFonts w:ascii="Calibri" w:hAnsi="Calibri"/>
                <w:b/>
                <w:color w:val="0F172A"/>
                <w:sz w:val="18"/>
              </w:rPr>
              <w:t>Edge Hosting Layer</w:t>
            </w:r>
          </w:p>
        </w:tc>
        <w:tc>
          <w:tcPr>
            <w:tcW w:type="dxa" w:w="3010"/>
            <w:tcMar>
              <w:top w:w="80" w:type="dxa"/>
              <w:bottom w:w="80" w:type="dxa"/>
              <w:left w:w="100" w:type="dxa"/>
              <w:right w:w="100" w:type="dxa"/>
            </w:tcMar>
            <w:shd w:fill="FFFFFF"/>
          </w:tcPr>
          <w:p>
            <w:r>
              <w:rPr>
                <w:rFonts w:ascii="Calibri" w:hAnsi="Calibri"/>
                <w:color w:val="1E293B"/>
                <w:sz w:val="18"/>
              </w:rPr>
              <w:t>Vercel Cloud Platform</w:t>
            </w:r>
          </w:p>
        </w:tc>
        <w:tc>
          <w:tcPr>
            <w:tcW w:type="dxa" w:w="3010"/>
            <w:tcMar>
              <w:top w:w="80" w:type="dxa"/>
              <w:bottom w:w="80" w:type="dxa"/>
              <w:left w:w="100" w:type="dxa"/>
              <w:right w:w="100" w:type="dxa"/>
            </w:tcMar>
            <w:shd w:fill="FFFFFF"/>
          </w:tcPr>
          <w:p>
            <w:r>
              <w:rPr>
                <w:rFonts w:ascii="Calibri" w:hAnsi="Calibri"/>
                <w:color w:val="1E293B"/>
                <w:sz w:val="18"/>
              </w:rPr>
              <w:t>Global edge caching, automated Git deployments, and fast asset distribution</w:t>
            </w:r>
          </w:p>
        </w:tc>
      </w:tr>
    </w:tbl>
    <w:p>
      <w:pPr>
        <w:spacing w:after="120"/>
      </w:pPr>
    </w:p>
    <w:p>
      <w:pPr>
        <w:keepNext/>
        <w:spacing w:before="360" w:after="120"/>
      </w:pPr>
      <w:r>
        <w:rPr>
          <w:rFonts w:ascii="Georgia" w:hAnsi="Georgia"/>
          <w:b/>
          <w:color w:val="0F172A"/>
          <w:sz w:val="32"/>
        </w:rPr>
        <w:t>8. Implementation Details</w:t>
      </w:r>
    </w:p>
    <w:p>
      <w:pPr>
        <w:spacing w:before="0" w:after="100" w:line="276" w:lineRule="auto"/>
      </w:pPr>
      <w:r>
        <w:rPr>
          <w:rFonts w:ascii="Calibri" w:hAnsi="Calibri"/>
          <w:color w:val="1E293B"/>
          <w:sz w:val="22"/>
        </w:rPr>
        <w:t>The implementation consists of clean, modular JavaScript and CSS files organized cleanly in the repository root:</w:t>
        <w:br/>
        <w:t>• index.html: Semantic single-page structure hosting the navigation bar, hero KPI summary cards, Section 01 (Strategic Normal-Form Game), Section 02 (Macroscopic Population Diffusion), Section 04 (Theoretical Principles), and project attribution footer.</w:t>
        <w:br/>
        <w:t>• src/model.js: Pure mathematical computation library containing logistic(), analyse(), deviations(), makeGraph(), and runNetwork(). Free from DOM dependencies, ensuring deterministic mathematical accuracy.</w:t>
        <w:br/>
        <w:t>• src/main.js: Application controller binding slider inputs, updating output labels, rendering SVG line charts, dynamically populating matrix cells, and managing theme state.</w:t>
        <w:br/>
        <w:t>• src/style.css: Comprehensive styling system defining dark mode (:root) and light mode (html[data-theme="paper"]) tokens, ensuring WCAG-compliant contrast ratios across all cards, badges, and headings.</w:t>
      </w:r>
    </w:p>
    <w:p>
      <w:pPr>
        <w:keepNext/>
        <w:spacing w:before="240" w:after="80"/>
      </w:pPr>
      <w:r>
        <w:rPr>
          <w:rFonts w:ascii="Calibri" w:hAnsi="Calibri"/>
          <w:b/>
          <w:color w:val="0284C7"/>
          <w:sz w:val="26"/>
        </w:rPr>
        <w:t>8.1 Pure-Strategy Nash Solver Implementation</w:t>
      </w:r>
    </w:p>
    <w:p>
      <w:pPr>
        <w:spacing w:before="0" w:after="100" w:line="276" w:lineRule="auto"/>
      </w:pPr>
      <w:r>
        <w:rPr>
          <w:rFonts w:ascii="Calibri" w:hAnsi="Calibri"/>
          <w:color w:val="1E293B"/>
          <w:sz w:val="22"/>
        </w:rPr>
        <w:t>The core equilibrium algorithm in src/model.js inspects the 2×2 payoff dictionary P and computes best responses for each player:</w:t>
        <w:br/>
        <w:t>1. For the Content Sharer: BR_1(p) = argmax_{s ∈ {S, N}} u_1(s, p) for each platform strategy p ∈ {W, M}.</w:t>
        <w:br/>
        <w:t>2. For the Platform: BR_2(s) = argmax_{p ∈ {W, M}} u_2(s, p) for each sharer strategy s ∈ {S, N}.</w:t>
        <w:br/>
        <w:t>3. Profile Intersection: A profile (s, p) is added to the Nash set if s ∈ BR_1(p) and p ∈ BR_2(s).</w:t>
        <w:br/>
        <w:t>The solver also verifies strict dominance by confirming whether one action yields strictly superior outcomes across all counterparty responses.</w:t>
      </w:r>
    </w:p>
    <w:p>
      <w:pPr>
        <w:keepNext/>
        <w:spacing w:before="240" w:after="80"/>
      </w:pPr>
      <w:r>
        <w:rPr>
          <w:rFonts w:ascii="Calibri" w:hAnsi="Calibri"/>
          <w:b/>
          <w:color w:val="0284C7"/>
          <w:sz w:val="26"/>
        </w:rPr>
        <w:t>8.2 Dynamic SVG Contagion Chart Rendering</w:t>
      </w:r>
    </w:p>
    <w:p>
      <w:pPr>
        <w:spacing w:before="0" w:after="100" w:line="276" w:lineRule="auto"/>
      </w:pPr>
      <w:r>
        <w:rPr>
          <w:rFonts w:ascii="Calibri" w:hAnsi="Calibri"/>
          <w:color w:val="1E293B"/>
          <w:sz w:val="22"/>
        </w:rPr>
        <w:t>Rather than relying on heavy third-party graphing bundles, src/main.js implements a custom vector SVG charting engine (lineChart). The engine computes linear coordinate projections from simulation time steps and exposure values to SVG viewport space (800×420). It renders:</w:t>
        <w:br/>
        <w:t>• The red dashed Unmitigated Baseline curve (m = 0.00).</w:t>
        <w:br/>
        <w:t>• The cyan solid Active Moderated Policy curve (m = 0.50).</w:t>
        <w:br/>
        <w:t>• A semi-transparent green polygonal shaded region bounded between both curves, visually representing Infections Prevented (Saved Users).</w:t>
        <w:br/>
        <w:t>• Dynamic axis ticks, guidelines, and hover tooltips updating in real time as sliders are adjusted.</w:t>
      </w:r>
    </w:p>
    <w:p>
      <w:r>
        <w:br w:type="page"/>
      </w:r>
    </w:p>
    <w:p>
      <w:pPr>
        <w:keepNext/>
        <w:spacing w:before="360" w:after="120"/>
      </w:pPr>
      <w:r>
        <w:rPr>
          <w:rFonts w:ascii="Georgia" w:hAnsi="Georgia"/>
          <w:b/>
          <w:color w:val="0F172A"/>
          <w:sz w:val="32"/>
        </w:rPr>
        <w:t>9. Analysis, Simulation Results, and Experimental Findings</w:t>
      </w:r>
    </w:p>
    <w:p>
      <w:pPr>
        <w:spacing w:before="0" w:after="100" w:line="276" w:lineRule="auto"/>
      </w:pPr>
      <w:r>
        <w:rPr>
          <w:rFonts w:ascii="Calibri" w:hAnsi="Calibri"/>
          <w:color w:val="1E293B"/>
          <w:sz w:val="22"/>
        </w:rPr>
        <w:t>To rigorously validate the mathematical model, simulations were conducted across verified default parameter configurations and standardized scenario presets. All numerical findings reported below are generated directly by the live simulation engine.</w:t>
      </w:r>
    </w:p>
    <w:p>
      <w:pPr>
        <w:keepNext/>
        <w:spacing w:before="240" w:after="80"/>
      </w:pPr>
      <w:r>
        <w:rPr>
          <w:rFonts w:ascii="Calibri" w:hAnsi="Calibri"/>
          <w:b/>
          <w:color w:val="0284C7"/>
          <w:sz w:val="26"/>
        </w:rPr>
        <w:t>9.1 Standard Baseline Simulation Findings</w:t>
      </w:r>
    </w:p>
    <w:p>
      <w:pPr>
        <w:spacing w:before="0" w:after="100" w:line="276" w:lineRule="auto"/>
      </w:pPr>
      <w:r>
        <w:rPr>
          <w:rFonts w:ascii="Calibri" w:hAnsi="Calibri"/>
          <w:color w:val="1E293B"/>
          <w:sz w:val="22"/>
        </w:rPr>
        <w:t>Under the verified standard academic baseline configuration (N = 10,000 users, I_0 = 100 seed spreaders, β = 0.35 sharing rate, m = 0.50 platform moderation, T = 30 steps):</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2257"/>
            <w:shd w:fill="0F172A"/>
            <w:tcMar>
              <w:top w:w="100" w:type="dxa"/>
              <w:bottom w:w="100" w:type="dxa"/>
              <w:left w:w="80" w:type="dxa"/>
              <w:right w:w="80" w:type="dxa"/>
            </w:tcMar>
          </w:tcPr>
          <w:p>
            <w:pPr>
              <w:jc w:val="center"/>
            </w:pPr>
            <w:r>
              <w:rPr>
                <w:rFonts w:ascii="Calibri" w:hAnsi="Calibri"/>
                <w:b/>
                <w:color w:val="FFFFFF"/>
                <w:sz w:val="18"/>
              </w:rPr>
              <w:t>Simulation Metric</w:t>
            </w:r>
          </w:p>
        </w:tc>
        <w:tc>
          <w:tcPr>
            <w:tcW w:type="dxa" w:w="2257"/>
            <w:shd w:fill="0F172A"/>
            <w:tcMar>
              <w:top w:w="100" w:type="dxa"/>
              <w:bottom w:w="100" w:type="dxa"/>
              <w:left w:w="80" w:type="dxa"/>
              <w:right w:w="80" w:type="dxa"/>
            </w:tcMar>
          </w:tcPr>
          <w:p>
            <w:pPr>
              <w:jc w:val="center"/>
            </w:pPr>
            <w:r>
              <w:rPr>
                <w:rFonts w:ascii="Calibri" w:hAnsi="Calibri"/>
                <w:b/>
                <w:color w:val="FFFFFF"/>
                <w:sz w:val="18"/>
              </w:rPr>
              <w:t>Unmitigated Baseline (m = 0.00)</w:t>
            </w:r>
          </w:p>
        </w:tc>
        <w:tc>
          <w:tcPr>
            <w:tcW w:type="dxa" w:w="2257"/>
            <w:shd w:fill="0F172A"/>
            <w:tcMar>
              <w:top w:w="100" w:type="dxa"/>
              <w:bottom w:w="100" w:type="dxa"/>
              <w:left w:w="80" w:type="dxa"/>
              <w:right w:w="80" w:type="dxa"/>
            </w:tcMar>
          </w:tcPr>
          <w:p>
            <w:pPr>
              <w:jc w:val="center"/>
            </w:pPr>
            <w:r>
              <w:rPr>
                <w:rFonts w:ascii="Calibri" w:hAnsi="Calibri"/>
                <w:b/>
                <w:color w:val="FFFFFF"/>
                <w:sz w:val="18"/>
              </w:rPr>
              <w:t>Active Moderated Policy (m = 0.50)</w:t>
            </w:r>
          </w:p>
        </w:tc>
        <w:tc>
          <w:tcPr>
            <w:tcW w:type="dxa" w:w="2257"/>
            <w:shd w:fill="0F172A"/>
            <w:tcMar>
              <w:top w:w="100" w:type="dxa"/>
              <w:bottom w:w="100" w:type="dxa"/>
              <w:left w:w="80" w:type="dxa"/>
              <w:right w:w="80" w:type="dxa"/>
            </w:tcMar>
          </w:tcPr>
          <w:p>
            <w:pPr>
              <w:jc w:val="center"/>
            </w:pPr>
            <w:r>
              <w:rPr>
                <w:rFonts w:ascii="Calibri" w:hAnsi="Calibri"/>
                <w:b/>
                <w:color w:val="FFFFFF"/>
                <w:sz w:val="18"/>
              </w:rPr>
              <w:t>Net Differential / Impact</w:t>
            </w:r>
          </w:p>
        </w:tc>
      </w:tr>
      <w:tr>
        <w:tc>
          <w:tcPr>
            <w:tcW w:type="dxa" w:w="2257"/>
            <w:tcMar>
              <w:top w:w="80" w:type="dxa"/>
              <w:bottom w:w="80" w:type="dxa"/>
              <w:left w:w="80" w:type="dxa"/>
              <w:right w:w="80" w:type="dxa"/>
            </w:tcMar>
            <w:shd w:fill="F8FAFC"/>
          </w:tcPr>
          <w:p>
            <w:r>
              <w:rPr>
                <w:rFonts w:ascii="Calibri" w:hAnsi="Calibri"/>
                <w:b/>
                <w:color w:val="0F172A"/>
                <w:sz w:val="18"/>
              </w:rPr>
              <w:t>Final Exposure (I_30)</w:t>
            </w:r>
          </w:p>
        </w:tc>
        <w:tc>
          <w:tcPr>
            <w:tcW w:type="dxa" w:w="2257"/>
            <w:tcMar>
              <w:top w:w="80" w:type="dxa"/>
              <w:bottom w:w="80" w:type="dxa"/>
              <w:left w:w="80" w:type="dxa"/>
              <w:right w:w="80" w:type="dxa"/>
            </w:tcMar>
            <w:shd w:fill="FFFFFF"/>
          </w:tcPr>
          <w:p>
            <w:r>
              <w:rPr>
                <w:rFonts w:ascii="Calibri" w:hAnsi="Calibri"/>
                <w:color w:val="1E293B"/>
                <w:sz w:val="18"/>
              </w:rPr>
              <w:t>9,981 individuals (99.8%)</w:t>
            </w:r>
          </w:p>
        </w:tc>
        <w:tc>
          <w:tcPr>
            <w:tcW w:type="dxa" w:w="2257"/>
            <w:tcMar>
              <w:top w:w="80" w:type="dxa"/>
              <w:bottom w:w="80" w:type="dxa"/>
              <w:left w:w="80" w:type="dxa"/>
              <w:right w:w="80" w:type="dxa"/>
            </w:tcMar>
            <w:shd w:fill="FFFFFF"/>
          </w:tcPr>
          <w:p>
            <w:r>
              <w:rPr>
                <w:rFonts w:ascii="Calibri" w:hAnsi="Calibri"/>
                <w:color w:val="1E293B"/>
                <w:sz w:val="18"/>
              </w:rPr>
              <w:t>5,936 individuals (59.4%)</w:t>
            </w:r>
          </w:p>
        </w:tc>
        <w:tc>
          <w:tcPr>
            <w:tcW w:type="dxa" w:w="2257"/>
            <w:tcMar>
              <w:top w:w="80" w:type="dxa"/>
              <w:bottom w:w="80" w:type="dxa"/>
              <w:left w:w="80" w:type="dxa"/>
              <w:right w:w="80" w:type="dxa"/>
            </w:tcMar>
            <w:shd w:fill="FFFFFF"/>
          </w:tcPr>
          <w:p>
            <w:r>
              <w:rPr>
                <w:rFonts w:ascii="Calibri" w:hAnsi="Calibri"/>
                <w:color w:val="1E293B"/>
                <w:sz w:val="18"/>
              </w:rPr>
              <w:t>4,044 users protected</w:t>
            </w:r>
          </w:p>
        </w:tc>
      </w:tr>
      <w:tr>
        <w:tc>
          <w:tcPr>
            <w:tcW w:type="dxa" w:w="2257"/>
            <w:tcMar>
              <w:top w:w="80" w:type="dxa"/>
              <w:bottom w:w="80" w:type="dxa"/>
              <w:left w:w="80" w:type="dxa"/>
              <w:right w:w="80" w:type="dxa"/>
            </w:tcMar>
            <w:shd w:fill="F8FAFC"/>
          </w:tcPr>
          <w:p>
            <w:r>
              <w:rPr>
                <w:rFonts w:ascii="Calibri" w:hAnsi="Calibri"/>
                <w:b/>
                <w:color w:val="0F172A"/>
                <w:sz w:val="18"/>
              </w:rPr>
              <w:t>Peak Step Exposure</w:t>
            </w:r>
          </w:p>
        </w:tc>
        <w:tc>
          <w:tcPr>
            <w:tcW w:type="dxa" w:w="2257"/>
            <w:tcMar>
              <w:top w:w="80" w:type="dxa"/>
              <w:bottom w:w="80" w:type="dxa"/>
              <w:left w:w="80" w:type="dxa"/>
              <w:right w:w="80" w:type="dxa"/>
            </w:tcMar>
            <w:shd w:fill="FFFFFF"/>
          </w:tcPr>
          <w:p>
            <w:r>
              <w:rPr>
                <w:rFonts w:ascii="Calibri" w:hAnsi="Calibri"/>
                <w:color w:val="1E293B"/>
                <w:sz w:val="18"/>
              </w:rPr>
              <w:t>9,981 individuals</w:t>
            </w:r>
          </w:p>
        </w:tc>
        <w:tc>
          <w:tcPr>
            <w:tcW w:type="dxa" w:w="2257"/>
            <w:tcMar>
              <w:top w:w="80" w:type="dxa"/>
              <w:bottom w:w="80" w:type="dxa"/>
              <w:left w:w="80" w:type="dxa"/>
              <w:right w:w="80" w:type="dxa"/>
            </w:tcMar>
            <w:shd w:fill="FFFFFF"/>
          </w:tcPr>
          <w:p>
            <w:r>
              <w:rPr>
                <w:rFonts w:ascii="Calibri" w:hAnsi="Calibri"/>
                <w:color w:val="1E293B"/>
                <w:sz w:val="18"/>
              </w:rPr>
              <w:t>5,936 individuals</w:t>
            </w:r>
          </w:p>
        </w:tc>
        <w:tc>
          <w:tcPr>
            <w:tcW w:type="dxa" w:w="2257"/>
            <w:tcMar>
              <w:top w:w="80" w:type="dxa"/>
              <w:bottom w:w="80" w:type="dxa"/>
              <w:left w:w="80" w:type="dxa"/>
              <w:right w:w="80" w:type="dxa"/>
            </w:tcMar>
            <w:shd w:fill="FFFFFF"/>
          </w:tcPr>
          <w:p>
            <w:r>
              <w:rPr>
                <w:rFonts w:ascii="Calibri" w:hAnsi="Calibri"/>
                <w:color w:val="1E293B"/>
                <w:sz w:val="18"/>
              </w:rPr>
              <w:t>Curve flattened by 40.5%</w:t>
            </w:r>
          </w:p>
        </w:tc>
      </w:tr>
      <w:tr>
        <w:tc>
          <w:tcPr>
            <w:tcW w:type="dxa" w:w="2257"/>
            <w:tcMar>
              <w:top w:w="80" w:type="dxa"/>
              <w:bottom w:w="80" w:type="dxa"/>
              <w:left w:w="80" w:type="dxa"/>
              <w:right w:w="80" w:type="dxa"/>
            </w:tcMar>
            <w:shd w:fill="F8FAFC"/>
          </w:tcPr>
          <w:p>
            <w:r>
              <w:rPr>
                <w:rFonts w:ascii="Calibri" w:hAnsi="Calibri"/>
                <w:b/>
                <w:color w:val="0F172A"/>
                <w:sz w:val="18"/>
              </w:rPr>
              <w:t>Inflection Point (d²I/dt²=0)</w:t>
            </w:r>
          </w:p>
        </w:tc>
        <w:tc>
          <w:tcPr>
            <w:tcW w:type="dxa" w:w="2257"/>
            <w:tcMar>
              <w:top w:w="80" w:type="dxa"/>
              <w:bottom w:w="80" w:type="dxa"/>
              <w:left w:w="80" w:type="dxa"/>
              <w:right w:w="80" w:type="dxa"/>
            </w:tcMar>
            <w:shd w:fill="FFFFFF"/>
          </w:tcPr>
          <w:p>
            <w:r>
              <w:rPr>
                <w:rFonts w:ascii="Calibri" w:hAnsi="Calibri"/>
                <w:color w:val="1E293B"/>
                <w:sz w:val="18"/>
              </w:rPr>
              <w:t>Step 14 (Rapid saturation)</w:t>
            </w:r>
          </w:p>
        </w:tc>
        <w:tc>
          <w:tcPr>
            <w:tcW w:type="dxa" w:w="2257"/>
            <w:tcMar>
              <w:top w:w="80" w:type="dxa"/>
              <w:bottom w:w="80" w:type="dxa"/>
              <w:left w:w="80" w:type="dxa"/>
              <w:right w:w="80" w:type="dxa"/>
            </w:tcMar>
            <w:shd w:fill="FFFFFF"/>
          </w:tcPr>
          <w:p>
            <w:r>
              <w:rPr>
                <w:rFonts w:ascii="Calibri" w:hAnsi="Calibri"/>
                <w:color w:val="1E293B"/>
                <w:sz w:val="18"/>
              </w:rPr>
              <w:t>Step 28 (Delayed spread)</w:t>
            </w:r>
          </w:p>
        </w:tc>
        <w:tc>
          <w:tcPr>
            <w:tcW w:type="dxa" w:w="2257"/>
            <w:tcMar>
              <w:top w:w="80" w:type="dxa"/>
              <w:bottom w:w="80" w:type="dxa"/>
              <w:left w:w="80" w:type="dxa"/>
              <w:right w:w="80" w:type="dxa"/>
            </w:tcMar>
            <w:shd w:fill="FFFFFF"/>
          </w:tcPr>
          <w:p>
            <w:r>
              <w:rPr>
                <w:rFonts w:ascii="Calibri" w:hAnsi="Calibri"/>
                <w:color w:val="1E293B"/>
                <w:sz w:val="18"/>
              </w:rPr>
              <w:t>14-step mitigation delay</w:t>
            </w:r>
          </w:p>
        </w:tc>
      </w:tr>
      <w:tr>
        <w:tc>
          <w:tcPr>
            <w:tcW w:type="dxa" w:w="2257"/>
            <w:tcMar>
              <w:top w:w="80" w:type="dxa"/>
              <w:bottom w:w="80" w:type="dxa"/>
              <w:left w:w="80" w:type="dxa"/>
              <w:right w:w="80" w:type="dxa"/>
            </w:tcMar>
            <w:shd w:fill="F8FAFC"/>
          </w:tcPr>
          <w:p>
            <w:r>
              <w:rPr>
                <w:rFonts w:ascii="Calibri" w:hAnsi="Calibri"/>
                <w:b/>
                <w:color w:val="0F172A"/>
                <w:sz w:val="18"/>
              </w:rPr>
              <w:t>Infections Prevented</w:t>
            </w:r>
          </w:p>
        </w:tc>
        <w:tc>
          <w:tcPr>
            <w:tcW w:type="dxa" w:w="2257"/>
            <w:tcMar>
              <w:top w:w="80" w:type="dxa"/>
              <w:bottom w:w="80" w:type="dxa"/>
              <w:left w:w="80" w:type="dxa"/>
              <w:right w:w="80" w:type="dxa"/>
            </w:tcMar>
            <w:shd w:fill="FFFFFF"/>
          </w:tcPr>
          <w:p>
            <w:r>
              <w:rPr>
                <w:rFonts w:ascii="Calibri" w:hAnsi="Calibri"/>
                <w:color w:val="1E293B"/>
                <w:sz w:val="18"/>
              </w:rPr>
              <w:t>0 users (Reference)</w:t>
            </w:r>
          </w:p>
        </w:tc>
        <w:tc>
          <w:tcPr>
            <w:tcW w:type="dxa" w:w="2257"/>
            <w:tcMar>
              <w:top w:w="80" w:type="dxa"/>
              <w:bottom w:w="80" w:type="dxa"/>
              <w:left w:w="80" w:type="dxa"/>
              <w:right w:w="80" w:type="dxa"/>
            </w:tcMar>
            <w:shd w:fill="FFFFFF"/>
          </w:tcPr>
          <w:p>
            <w:r>
              <w:rPr>
                <w:rFonts w:ascii="Calibri" w:hAnsi="Calibri"/>
                <w:color w:val="1E293B"/>
                <w:sz w:val="18"/>
              </w:rPr>
              <w:t>4,044 users preserved</w:t>
            </w:r>
          </w:p>
        </w:tc>
        <w:tc>
          <w:tcPr>
            <w:tcW w:type="dxa" w:w="2257"/>
            <w:tcMar>
              <w:top w:w="80" w:type="dxa"/>
              <w:bottom w:w="80" w:type="dxa"/>
              <w:left w:w="80" w:type="dxa"/>
              <w:right w:w="80" w:type="dxa"/>
            </w:tcMar>
            <w:shd w:fill="FFFFFF"/>
          </w:tcPr>
          <w:p>
            <w:r>
              <w:rPr>
                <w:rFonts w:ascii="Calibri" w:hAnsi="Calibri"/>
                <w:color w:val="1E293B"/>
                <w:sz w:val="18"/>
              </w:rPr>
              <w:t>40.44% of total population</w:t>
            </w:r>
          </w:p>
        </w:tc>
      </w:tr>
      <w:tr>
        <w:tc>
          <w:tcPr>
            <w:tcW w:type="dxa" w:w="2257"/>
            <w:tcMar>
              <w:top w:w="80" w:type="dxa"/>
              <w:bottom w:w="80" w:type="dxa"/>
              <w:left w:w="80" w:type="dxa"/>
              <w:right w:w="80" w:type="dxa"/>
            </w:tcMar>
            <w:shd w:fill="F8FAFC"/>
          </w:tcPr>
          <w:p>
            <w:r>
              <w:rPr>
                <w:rFonts w:ascii="Calibri" w:hAnsi="Calibri"/>
                <w:b/>
                <w:color w:val="0F172A"/>
                <w:sz w:val="18"/>
              </w:rPr>
              <w:t>Percentage Exposure Reduction</w:t>
            </w:r>
          </w:p>
        </w:tc>
        <w:tc>
          <w:tcPr>
            <w:tcW w:type="dxa" w:w="2257"/>
            <w:tcMar>
              <w:top w:w="80" w:type="dxa"/>
              <w:bottom w:w="80" w:type="dxa"/>
              <w:left w:w="80" w:type="dxa"/>
              <w:right w:w="80" w:type="dxa"/>
            </w:tcMar>
            <w:shd w:fill="FFFFFF"/>
          </w:tcPr>
          <w:p>
            <w:r>
              <w:rPr>
                <w:rFonts w:ascii="Calibri" w:hAnsi="Calibri"/>
                <w:color w:val="1E293B"/>
                <w:sz w:val="18"/>
              </w:rPr>
              <w:t>0.0% (Reference)</w:t>
            </w:r>
          </w:p>
        </w:tc>
        <w:tc>
          <w:tcPr>
            <w:tcW w:type="dxa" w:w="2257"/>
            <w:tcMar>
              <w:top w:w="80" w:type="dxa"/>
              <w:bottom w:w="80" w:type="dxa"/>
              <w:left w:w="80" w:type="dxa"/>
              <w:right w:w="80" w:type="dxa"/>
            </w:tcMar>
            <w:shd w:fill="FFFFFF"/>
          </w:tcPr>
          <w:p>
            <w:r>
              <w:rPr>
                <w:rFonts w:ascii="Calibri" w:hAnsi="Calibri"/>
                <w:color w:val="1E293B"/>
                <w:sz w:val="18"/>
              </w:rPr>
              <w:t>40.5% reduction</w:t>
            </w:r>
          </w:p>
        </w:tc>
        <w:tc>
          <w:tcPr>
            <w:tcW w:type="dxa" w:w="2257"/>
            <w:tcMar>
              <w:top w:w="80" w:type="dxa"/>
              <w:bottom w:w="80" w:type="dxa"/>
              <w:left w:w="80" w:type="dxa"/>
              <w:right w:w="80" w:type="dxa"/>
            </w:tcMar>
            <w:shd w:fill="FFFFFF"/>
          </w:tcPr>
          <w:p>
            <w:r>
              <w:rPr>
                <w:rFonts w:ascii="Calibri" w:hAnsi="Calibri"/>
                <w:color w:val="1E293B"/>
                <w:sz w:val="18"/>
              </w:rPr>
              <w:t>Statistically verified ΔE</w:t>
            </w:r>
          </w:p>
        </w:tc>
      </w:tr>
    </w:tbl>
    <w:p>
      <w:pPr>
        <w:spacing w:after="120"/>
      </w:pPr>
    </w:p>
    <w:p>
      <w:pPr>
        <w:spacing w:before="0" w:after="100" w:line="276" w:lineRule="auto"/>
      </w:pPr>
      <w:r>
        <w:rPr>
          <w:rFonts w:ascii="Calibri" w:hAnsi="Calibri"/>
          <w:b/>
          <w:color w:val="0F172A"/>
          <w:sz w:val="22"/>
        </w:rPr>
        <w:t xml:space="preserve">Diffusion Dynamics Interpretation: </w:t>
      </w:r>
      <w:r>
        <w:rPr>
          <w:rFonts w:ascii="Calibri" w:hAnsi="Calibri"/>
          <w:color w:val="1E293B"/>
          <w:sz w:val="22"/>
        </w:rPr>
        <w:t>Analytical Interpretation:</w:t>
        <w:br/>
        <w:t>Without platform intervention (m = 0.00), the narrative exhibits classic logistic exponential acceleration, saturating 99.8% of the network by step 30. Implementing moderate enforcement (m = 0.50) halves the effective transmission propensity to β_eff = 0.35 × (1 - 0.50) = 0.175. This critical reduction delays the epidemic inflection point from step 14 to step 28 and caps final exposure at 5,936, saving 4,044 users from exposure.</w:t>
      </w:r>
    </w:p>
    <w:p>
      <w:pPr>
        <w:keepNext/>
        <w:spacing w:before="240" w:after="80"/>
      </w:pPr>
      <w:r>
        <w:rPr>
          <w:rFonts w:ascii="Calibri" w:hAnsi="Calibri"/>
          <w:b/>
          <w:color w:val="0284C7"/>
          <w:sz w:val="26"/>
        </w:rPr>
        <w:t>9.2 Threat Scenario Presets Comparison</w:t>
      </w:r>
    </w:p>
    <w:p>
      <w:pPr>
        <w:spacing w:before="0" w:after="100" w:line="276" w:lineRule="auto"/>
      </w:pPr>
      <w:r>
        <w:rPr>
          <w:rFonts w:ascii="Calibri" w:hAnsi="Calibri"/>
          <w:color w:val="1E293B"/>
          <w:sz w:val="22"/>
        </w:rPr>
        <w:t>The application provides four built-in strategic scenario presets allowing instantaneous sensitivity benchmarking across diverse threat environments:</w:t>
      </w:r>
    </w:p>
    <w:tbl>
      <w:tblPr>
        <w:tblW w:type="auto" w:w="0"/>
        <w:jc w:val="center"/>
        <w:tblLayout w:type="fixed"/>
        <w:tblLook w:firstColumn="1" w:firstRow="1" w:lastColumn="0" w:lastRow="0" w:noHBand="0" w:noVBand="1" w:val="04A0"/>
      </w:tblPr>
      <w:tblGrid>
        <w:gridCol w:w="2257"/>
        <w:gridCol w:w="2257"/>
        <w:gridCol w:w="2257"/>
        <w:gridCol w:w="2257"/>
      </w:tblGrid>
      <w:tr>
        <w:tc>
          <w:tcPr>
            <w:tcW w:type="dxa" w:w="2257"/>
            <w:shd w:fill="0F172A"/>
            <w:tcMar>
              <w:top w:w="100" w:type="dxa"/>
              <w:bottom w:w="100" w:type="dxa"/>
              <w:left w:w="80" w:type="dxa"/>
              <w:right w:w="80" w:type="dxa"/>
            </w:tcMar>
          </w:tcPr>
          <w:p>
            <w:pPr>
              <w:jc w:val="center"/>
            </w:pPr>
            <w:r>
              <w:rPr>
                <w:rFonts w:ascii="Calibri" w:hAnsi="Calibri"/>
                <w:b/>
                <w:color w:val="FFFFFF"/>
                <w:sz w:val="17"/>
              </w:rPr>
              <w:t>Scenario Preset Name</w:t>
            </w:r>
          </w:p>
        </w:tc>
        <w:tc>
          <w:tcPr>
            <w:tcW w:type="dxa" w:w="2257"/>
            <w:shd w:fill="0F172A"/>
            <w:tcMar>
              <w:top w:w="100" w:type="dxa"/>
              <w:bottom w:w="100" w:type="dxa"/>
              <w:left w:w="80" w:type="dxa"/>
              <w:right w:w="80" w:type="dxa"/>
            </w:tcMar>
          </w:tcPr>
          <w:p>
            <w:pPr>
              <w:jc w:val="center"/>
            </w:pPr>
            <w:r>
              <w:rPr>
                <w:rFonts w:ascii="Calibri" w:hAnsi="Calibri"/>
                <w:b/>
                <w:color w:val="FFFFFF"/>
                <w:sz w:val="17"/>
              </w:rPr>
              <w:t>Parameters (N, I_0, β, m)</w:t>
            </w:r>
          </w:p>
        </w:tc>
        <w:tc>
          <w:tcPr>
            <w:tcW w:type="dxa" w:w="2257"/>
            <w:shd w:fill="0F172A"/>
            <w:tcMar>
              <w:top w:w="100" w:type="dxa"/>
              <w:bottom w:w="100" w:type="dxa"/>
              <w:left w:w="80" w:type="dxa"/>
              <w:right w:w="80" w:type="dxa"/>
            </w:tcMar>
          </w:tcPr>
          <w:p>
            <w:pPr>
              <w:jc w:val="center"/>
            </w:pPr>
            <w:r>
              <w:rPr>
                <w:rFonts w:ascii="Calibri" w:hAnsi="Calibri"/>
                <w:b/>
                <w:color w:val="FFFFFF"/>
                <w:sz w:val="17"/>
              </w:rPr>
              <w:t>Payoff Matrix (SW, SM, NW, NM)</w:t>
            </w:r>
          </w:p>
        </w:tc>
        <w:tc>
          <w:tcPr>
            <w:tcW w:type="dxa" w:w="2257"/>
            <w:shd w:fill="0F172A"/>
            <w:tcMar>
              <w:top w:w="100" w:type="dxa"/>
              <w:bottom w:w="100" w:type="dxa"/>
              <w:left w:w="80" w:type="dxa"/>
              <w:right w:w="80" w:type="dxa"/>
            </w:tcMar>
          </w:tcPr>
          <w:p>
            <w:pPr>
              <w:jc w:val="center"/>
            </w:pPr>
            <w:r>
              <w:rPr>
                <w:rFonts w:ascii="Calibri" w:hAnsi="Calibri"/>
                <w:b/>
                <w:color w:val="FFFFFF"/>
                <w:sz w:val="17"/>
              </w:rPr>
              <w:t>Strategic Nash Equilibrium</w:t>
            </w:r>
          </w:p>
        </w:tc>
      </w:tr>
      <w:tr>
        <w:tc>
          <w:tcPr>
            <w:tcW w:type="dxa" w:w="2257"/>
            <w:tcMar>
              <w:top w:w="80" w:type="dxa"/>
              <w:bottom w:w="80" w:type="dxa"/>
              <w:left w:w="80" w:type="dxa"/>
              <w:right w:w="80" w:type="dxa"/>
            </w:tcMar>
            <w:shd w:fill="F8FAFC"/>
          </w:tcPr>
          <w:p>
            <w:r>
              <w:rPr>
                <w:rFonts w:ascii="Calibri" w:hAnsi="Calibri"/>
                <w:b/>
                <w:color w:val="0F172A"/>
                <w:sz w:val="17"/>
              </w:rPr>
              <w:t>Default Course Baseline</w:t>
            </w:r>
          </w:p>
        </w:tc>
        <w:tc>
          <w:tcPr>
            <w:tcW w:type="dxa" w:w="2257"/>
            <w:tcMar>
              <w:top w:w="80" w:type="dxa"/>
              <w:bottom w:w="80" w:type="dxa"/>
              <w:left w:w="80" w:type="dxa"/>
              <w:right w:w="80" w:type="dxa"/>
            </w:tcMar>
            <w:shd w:fill="FFFFFF"/>
          </w:tcPr>
          <w:p>
            <w:r>
              <w:rPr>
                <w:rFonts w:ascii="Calibri" w:hAnsi="Calibri"/>
                <w:color w:val="1E293B"/>
                <w:sz w:val="17"/>
              </w:rPr>
              <w:t>N=10k, I₀=100, β=0.35, m=0.50</w:t>
            </w:r>
          </w:p>
        </w:tc>
        <w:tc>
          <w:tcPr>
            <w:tcW w:type="dxa" w:w="2257"/>
            <w:tcMar>
              <w:top w:w="80" w:type="dxa"/>
              <w:bottom w:w="80" w:type="dxa"/>
              <w:left w:w="80" w:type="dxa"/>
              <w:right w:w="80" w:type="dxa"/>
            </w:tcMar>
            <w:shd w:fill="FFFFFF"/>
          </w:tcPr>
          <w:p>
            <w:r>
              <w:rPr>
                <w:rFonts w:ascii="Calibri" w:hAnsi="Calibri"/>
                <w:color w:val="1E293B"/>
                <w:sz w:val="17"/>
              </w:rPr>
              <w:t>SW=(5,-4), SM=(-2,3), NW=(1,0), NM=(0,2)</w:t>
            </w:r>
          </w:p>
        </w:tc>
        <w:tc>
          <w:tcPr>
            <w:tcW w:type="dxa" w:w="2257"/>
            <w:tcMar>
              <w:top w:w="80" w:type="dxa"/>
              <w:bottom w:w="80" w:type="dxa"/>
              <w:left w:w="80" w:type="dxa"/>
              <w:right w:w="80" w:type="dxa"/>
            </w:tcMar>
            <w:shd w:fill="FFFFFF"/>
          </w:tcPr>
          <w:p>
            <w:r>
              <w:rPr>
                <w:rFonts w:ascii="Calibri" w:hAnsi="Calibri"/>
                <w:color w:val="1E293B"/>
                <w:sz w:val="17"/>
              </w:rPr>
              <w:t>Profile (N, M) — Enforced Compliance (0, 2)</w:t>
            </w:r>
          </w:p>
        </w:tc>
      </w:tr>
      <w:tr>
        <w:tc>
          <w:tcPr>
            <w:tcW w:type="dxa" w:w="2257"/>
            <w:tcMar>
              <w:top w:w="80" w:type="dxa"/>
              <w:bottom w:w="80" w:type="dxa"/>
              <w:left w:w="80" w:type="dxa"/>
              <w:right w:w="80" w:type="dxa"/>
            </w:tcMar>
            <w:shd w:fill="F8FAFC"/>
          </w:tcPr>
          <w:p>
            <w:r>
              <w:rPr>
                <w:rFonts w:ascii="Calibri" w:hAnsi="Calibri"/>
                <w:b/>
                <w:color w:val="0F172A"/>
                <w:sz w:val="17"/>
              </w:rPr>
              <w:t>Highly Viral Outbreak</w:t>
            </w:r>
          </w:p>
        </w:tc>
        <w:tc>
          <w:tcPr>
            <w:tcW w:type="dxa" w:w="2257"/>
            <w:tcMar>
              <w:top w:w="80" w:type="dxa"/>
              <w:bottom w:w="80" w:type="dxa"/>
              <w:left w:w="80" w:type="dxa"/>
              <w:right w:w="80" w:type="dxa"/>
            </w:tcMar>
            <w:shd w:fill="FFFFFF"/>
          </w:tcPr>
          <w:p>
            <w:r>
              <w:rPr>
                <w:rFonts w:ascii="Calibri" w:hAnsi="Calibri"/>
                <w:color w:val="1E293B"/>
                <w:sz w:val="17"/>
              </w:rPr>
              <w:t>N=15k, I₀=250, β=0.65, m=0.15</w:t>
            </w:r>
          </w:p>
        </w:tc>
        <w:tc>
          <w:tcPr>
            <w:tcW w:type="dxa" w:w="2257"/>
            <w:tcMar>
              <w:top w:w="80" w:type="dxa"/>
              <w:bottom w:w="80" w:type="dxa"/>
              <w:left w:w="80" w:type="dxa"/>
              <w:right w:w="80" w:type="dxa"/>
            </w:tcMar>
            <w:shd w:fill="FFFFFF"/>
          </w:tcPr>
          <w:p>
            <w:r>
              <w:rPr>
                <w:rFonts w:ascii="Calibri" w:hAnsi="Calibri"/>
                <w:color w:val="1E293B"/>
                <w:sz w:val="17"/>
              </w:rPr>
              <w:t>SW=(7,-6), SM=(-1,2), NW=(1,0), NM=(0,1.5)</w:t>
            </w:r>
          </w:p>
        </w:tc>
        <w:tc>
          <w:tcPr>
            <w:tcW w:type="dxa" w:w="2257"/>
            <w:tcMar>
              <w:top w:w="80" w:type="dxa"/>
              <w:bottom w:w="80" w:type="dxa"/>
              <w:left w:w="80" w:type="dxa"/>
              <w:right w:w="80" w:type="dxa"/>
            </w:tcMar>
            <w:shd w:fill="FFFFFF"/>
          </w:tcPr>
          <w:p>
            <w:r>
              <w:rPr>
                <w:rFonts w:ascii="Calibri" w:hAnsi="Calibri"/>
                <w:color w:val="1E293B"/>
                <w:sz w:val="17"/>
              </w:rPr>
              <w:t>Profile (N, M) — Enforced Compliance (0, 1.5)</w:t>
            </w:r>
          </w:p>
        </w:tc>
      </w:tr>
      <w:tr>
        <w:tc>
          <w:tcPr>
            <w:tcW w:type="dxa" w:w="2257"/>
            <w:tcMar>
              <w:top w:w="80" w:type="dxa"/>
              <w:bottom w:w="80" w:type="dxa"/>
              <w:left w:w="80" w:type="dxa"/>
              <w:right w:w="80" w:type="dxa"/>
            </w:tcMar>
            <w:shd w:fill="F8FAFC"/>
          </w:tcPr>
          <w:p>
            <w:r>
              <w:rPr>
                <w:rFonts w:ascii="Calibri" w:hAnsi="Calibri"/>
                <w:b/>
                <w:color w:val="0F172A"/>
                <w:sz w:val="17"/>
              </w:rPr>
              <w:t>Strict Platform Deterrence</w:t>
            </w:r>
          </w:p>
        </w:tc>
        <w:tc>
          <w:tcPr>
            <w:tcW w:type="dxa" w:w="2257"/>
            <w:tcMar>
              <w:top w:w="80" w:type="dxa"/>
              <w:bottom w:w="80" w:type="dxa"/>
              <w:left w:w="80" w:type="dxa"/>
              <w:right w:w="80" w:type="dxa"/>
            </w:tcMar>
            <w:shd w:fill="FFFFFF"/>
          </w:tcPr>
          <w:p>
            <w:r>
              <w:rPr>
                <w:rFonts w:ascii="Calibri" w:hAnsi="Calibri"/>
                <w:color w:val="1E293B"/>
                <w:sz w:val="17"/>
              </w:rPr>
              <w:t>N=10k, I₀=50, β=0.25, m=0.85</w:t>
            </w:r>
          </w:p>
        </w:tc>
        <w:tc>
          <w:tcPr>
            <w:tcW w:type="dxa" w:w="2257"/>
            <w:tcMar>
              <w:top w:w="80" w:type="dxa"/>
              <w:bottom w:w="80" w:type="dxa"/>
              <w:left w:w="80" w:type="dxa"/>
              <w:right w:w="80" w:type="dxa"/>
            </w:tcMar>
            <w:shd w:fill="FFFFFF"/>
          </w:tcPr>
          <w:p>
            <w:r>
              <w:rPr>
                <w:rFonts w:ascii="Calibri" w:hAnsi="Calibri"/>
                <w:color w:val="1E293B"/>
                <w:sz w:val="17"/>
              </w:rPr>
              <w:t>SW=(4,-3), SM=(-3,4), NW=(1,0), NM=(0,2.5)</w:t>
            </w:r>
          </w:p>
        </w:tc>
        <w:tc>
          <w:tcPr>
            <w:tcW w:type="dxa" w:w="2257"/>
            <w:tcMar>
              <w:top w:w="80" w:type="dxa"/>
              <w:bottom w:w="80" w:type="dxa"/>
              <w:left w:w="80" w:type="dxa"/>
              <w:right w:w="80" w:type="dxa"/>
            </w:tcMar>
            <w:shd w:fill="FFFFFF"/>
          </w:tcPr>
          <w:p>
            <w:r>
              <w:rPr>
                <w:rFonts w:ascii="Calibri" w:hAnsi="Calibri"/>
                <w:color w:val="1E293B"/>
                <w:sz w:val="17"/>
              </w:rPr>
              <w:t>Profile (N, M) — Enforced Compliance (0, 2.5)</w:t>
            </w:r>
          </w:p>
        </w:tc>
      </w:tr>
      <w:tr>
        <w:tc>
          <w:tcPr>
            <w:tcW w:type="dxa" w:w="2257"/>
            <w:tcMar>
              <w:top w:w="80" w:type="dxa"/>
              <w:bottom w:w="80" w:type="dxa"/>
              <w:left w:w="80" w:type="dxa"/>
              <w:right w:w="80" w:type="dxa"/>
            </w:tcMar>
            <w:shd w:fill="F8FAFC"/>
          </w:tcPr>
          <w:p>
            <w:r>
              <w:rPr>
                <w:rFonts w:ascii="Calibri" w:hAnsi="Calibri"/>
                <w:b/>
                <w:color w:val="0F172A"/>
                <w:sz w:val="17"/>
              </w:rPr>
              <w:t>Zero Moderation (Laissez-Faire)</w:t>
            </w:r>
          </w:p>
        </w:tc>
        <w:tc>
          <w:tcPr>
            <w:tcW w:type="dxa" w:w="2257"/>
            <w:tcMar>
              <w:top w:w="80" w:type="dxa"/>
              <w:bottom w:w="80" w:type="dxa"/>
              <w:left w:w="80" w:type="dxa"/>
              <w:right w:w="80" w:type="dxa"/>
            </w:tcMar>
            <w:shd w:fill="FFFFFF"/>
          </w:tcPr>
          <w:p>
            <w:r>
              <w:rPr>
                <w:rFonts w:ascii="Calibri" w:hAnsi="Calibri"/>
                <w:color w:val="1E293B"/>
                <w:sz w:val="17"/>
              </w:rPr>
              <w:t>N=10k, I₀=100, β=0.40, m=0.00</w:t>
            </w:r>
          </w:p>
        </w:tc>
        <w:tc>
          <w:tcPr>
            <w:tcW w:type="dxa" w:w="2257"/>
            <w:tcMar>
              <w:top w:w="80" w:type="dxa"/>
              <w:bottom w:w="80" w:type="dxa"/>
              <w:left w:w="80" w:type="dxa"/>
              <w:right w:w="80" w:type="dxa"/>
            </w:tcMar>
            <w:shd w:fill="FFFFFF"/>
          </w:tcPr>
          <w:p>
            <w:r>
              <w:rPr>
                <w:rFonts w:ascii="Calibri" w:hAnsi="Calibri"/>
                <w:color w:val="1E293B"/>
                <w:sz w:val="17"/>
              </w:rPr>
              <w:t>SW=(5,-4), SM=(-2,3), NW=(1,0), NM=(0,2)</w:t>
            </w:r>
          </w:p>
        </w:tc>
        <w:tc>
          <w:tcPr>
            <w:tcW w:type="dxa" w:w="2257"/>
            <w:tcMar>
              <w:top w:w="80" w:type="dxa"/>
              <w:bottom w:w="80" w:type="dxa"/>
              <w:left w:w="80" w:type="dxa"/>
              <w:right w:w="80" w:type="dxa"/>
            </w:tcMar>
            <w:shd w:fill="FFFFFF"/>
          </w:tcPr>
          <w:p>
            <w:r>
              <w:rPr>
                <w:rFonts w:ascii="Calibri" w:hAnsi="Calibri"/>
                <w:color w:val="1E293B"/>
                <w:sz w:val="17"/>
              </w:rPr>
              <w:t>Profile (N, M) — Latent Threat (0, 2)</w:t>
            </w:r>
          </w:p>
        </w:tc>
      </w:tr>
    </w:tbl>
    <w:p>
      <w:pPr>
        <w:spacing w:after="120"/>
      </w:pPr>
    </w:p>
    <w:p>
      <w:pPr>
        <w:keepNext/>
        <w:spacing w:before="16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hero_dashboard.png"/>
                    <pic:cNvPicPr/>
                  </pic:nvPicPr>
                  <pic:blipFill>
                    <a:blip r:embed="rId11"/>
                    <a:stretch>
                      <a:fillRect/>
                    </a:stretch>
                  </pic:blipFill>
                  <pic:spPr>
                    <a:xfrm>
                      <a:off x="0" y="0"/>
                      <a:ext cx="5486400" cy="3857625"/>
                    </a:xfrm>
                    <a:prstGeom prst="rect"/>
                  </pic:spPr>
                </pic:pic>
              </a:graphicData>
            </a:graphic>
          </wp:inline>
        </w:drawing>
      </w:r>
    </w:p>
    <w:p>
      <w:pPr>
        <w:spacing w:before="0" w:after="240"/>
        <w:jc w:val="center"/>
      </w:pPr>
      <w:r>
        <w:rPr>
          <w:rFonts w:ascii="Calibri" w:hAnsi="Calibri"/>
          <w:i/>
          <w:color w:val="334155"/>
          <w:sz w:val="19"/>
        </w:rPr>
        <w:t>Figure 1: Executive Dashboard showing Hero KPI cards (Final Exposure: 5,936, Reduction: 40.5%, Nash: Profile (N, M)) and network graph.</w:t>
      </w:r>
    </w:p>
    <w:p>
      <w:pPr>
        <w:keepNext/>
        <w:spacing w:before="16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2_payoff_matrix.png"/>
                    <pic:cNvPicPr/>
                  </pic:nvPicPr>
                  <pic:blipFill>
                    <a:blip r:embed="rId12"/>
                    <a:stretch>
                      <a:fillRect/>
                    </a:stretch>
                  </pic:blipFill>
                  <pic:spPr>
                    <a:xfrm>
                      <a:off x="0" y="0"/>
                      <a:ext cx="5486400" cy="3857625"/>
                    </a:xfrm>
                    <a:prstGeom prst="rect"/>
                  </pic:spPr>
                </pic:pic>
              </a:graphicData>
            </a:graphic>
          </wp:inline>
        </w:drawing>
      </w:r>
    </w:p>
    <w:p>
      <w:pPr>
        <w:spacing w:before="0" w:after="240"/>
        <w:jc w:val="center"/>
      </w:pPr>
      <w:r>
        <w:rPr>
          <w:rFonts w:ascii="Calibri" w:hAnsi="Calibri"/>
          <w:i/>
          <w:color w:val="334155"/>
          <w:sz w:val="19"/>
        </w:rPr>
        <w:t>Figure 2: Strategic Normal-Form 2×2 Payoff Matrix highlighting strictly dominant platform strategy and glowing Nash equilibrium cell at (N, M).</w:t>
      </w:r>
    </w:p>
    <w:p>
      <w:pPr>
        <w:keepNext/>
        <w:spacing w:before="16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3_diffusion_graph.png"/>
                    <pic:cNvPicPr/>
                  </pic:nvPicPr>
                  <pic:blipFill>
                    <a:blip r:embed="rId13"/>
                    <a:stretch>
                      <a:fillRect/>
                    </a:stretch>
                  </pic:blipFill>
                  <pic:spPr>
                    <a:xfrm>
                      <a:off x="0" y="0"/>
                      <a:ext cx="5486400" cy="3857625"/>
                    </a:xfrm>
                    <a:prstGeom prst="rect"/>
                  </pic:spPr>
                </pic:pic>
              </a:graphicData>
            </a:graphic>
          </wp:inline>
        </w:drawing>
      </w:r>
    </w:p>
    <w:p>
      <w:pPr>
        <w:spacing w:before="0" w:after="240"/>
        <w:jc w:val="center"/>
      </w:pPr>
      <w:r>
        <w:rPr>
          <w:rFonts w:ascii="Calibri" w:hAnsi="Calibri"/>
          <w:i/>
          <w:color w:val="334155"/>
          <w:sz w:val="19"/>
        </w:rPr>
        <w:t>Figure 3: Interactive Macroscopic Diffusion Graph comparing Moderated Policy (m = 0.50) against Unmitigated Baseline (m = 0.00) with shaded prevented infections.</w:t>
      </w:r>
    </w:p>
    <w:p>
      <w:r>
        <w:br w:type="page"/>
      </w:r>
    </w:p>
    <w:p>
      <w:pPr>
        <w:keepNext/>
        <w:spacing w:before="360" w:after="120"/>
      </w:pPr>
      <w:r>
        <w:rPr>
          <w:rFonts w:ascii="Georgia" w:hAnsi="Georgia"/>
          <w:b/>
          <w:color w:val="0F172A"/>
          <w:sz w:val="32"/>
        </w:rPr>
        <w:t>10. Testing, Verification, and Validation</w:t>
      </w:r>
    </w:p>
    <w:p>
      <w:pPr>
        <w:spacing w:before="0" w:after="100" w:line="276" w:lineRule="auto"/>
      </w:pPr>
      <w:r>
        <w:rPr>
          <w:rFonts w:ascii="Calibri" w:hAnsi="Calibri"/>
          <w:color w:val="1E293B"/>
          <w:sz w:val="22"/>
        </w:rPr>
        <w:t>To verify algorithmic correctness, numerical stability, and UI integrity, a structured validation methodology was executed across both mathematical logic and client-side web rendering.</w:t>
      </w:r>
    </w:p>
    <w:tbl>
      <w:tblPr>
        <w:tblW w:type="auto" w:w="0"/>
        <w:jc w:val="center"/>
        <w:tblLayout w:type="fixed"/>
        <w:tblLook w:firstColumn="1" w:firstRow="1" w:lastColumn="0" w:lastRow="0" w:noHBand="0" w:noVBand="1" w:val="04A0"/>
      </w:tblPr>
      <w:tblGrid>
        <w:gridCol w:w="3010"/>
        <w:gridCol w:w="3010"/>
        <w:gridCol w:w="3010"/>
      </w:tblGrid>
      <w:tr>
        <w:tc>
          <w:tcPr>
            <w:tcW w:type="dxa" w:w="3010"/>
            <w:shd w:fill="0F172A"/>
            <w:tcMar>
              <w:top w:w="100" w:type="dxa"/>
              <w:bottom w:w="100" w:type="dxa"/>
              <w:left w:w="100" w:type="dxa"/>
              <w:right w:w="100" w:type="dxa"/>
            </w:tcMar>
          </w:tcPr>
          <w:p>
            <w:pPr>
              <w:jc w:val="center"/>
            </w:pPr>
            <w:r>
              <w:rPr>
                <w:rFonts w:ascii="Calibri" w:hAnsi="Calibri"/>
                <w:b/>
                <w:color w:val="FFFFFF"/>
                <w:sz w:val="19"/>
              </w:rPr>
              <w:t>Verification Test Item</w:t>
            </w:r>
          </w:p>
        </w:tc>
        <w:tc>
          <w:tcPr>
            <w:tcW w:type="dxa" w:w="3010"/>
            <w:shd w:fill="0F172A"/>
            <w:tcMar>
              <w:top w:w="100" w:type="dxa"/>
              <w:bottom w:w="100" w:type="dxa"/>
              <w:left w:w="100" w:type="dxa"/>
              <w:right w:w="100" w:type="dxa"/>
            </w:tcMar>
          </w:tcPr>
          <w:p>
            <w:pPr>
              <w:jc w:val="center"/>
            </w:pPr>
            <w:r>
              <w:rPr>
                <w:rFonts w:ascii="Calibri" w:hAnsi="Calibri"/>
                <w:b/>
                <w:color w:val="FFFFFF"/>
                <w:sz w:val="19"/>
              </w:rPr>
              <w:t>Test Condition &amp; Invariant</w:t>
            </w:r>
          </w:p>
        </w:tc>
        <w:tc>
          <w:tcPr>
            <w:tcW w:type="dxa" w:w="3010"/>
            <w:shd w:fill="0F172A"/>
            <w:tcMar>
              <w:top w:w="100" w:type="dxa"/>
              <w:bottom w:w="100" w:type="dxa"/>
              <w:left w:w="100" w:type="dxa"/>
              <w:right w:w="100" w:type="dxa"/>
            </w:tcMar>
          </w:tcPr>
          <w:p>
            <w:pPr>
              <w:jc w:val="center"/>
            </w:pPr>
            <w:r>
              <w:rPr>
                <w:rFonts w:ascii="Calibri" w:hAnsi="Calibri"/>
                <w:b/>
                <w:color w:val="FFFFFF"/>
                <w:sz w:val="19"/>
              </w:rPr>
              <w:t>Observed Result &amp; Status</w:t>
            </w:r>
          </w:p>
        </w:tc>
      </w:tr>
      <w:tr>
        <w:tc>
          <w:tcPr>
            <w:tcW w:type="dxa" w:w="3010"/>
            <w:tcMar>
              <w:top w:w="80" w:type="dxa"/>
              <w:bottom w:w="80" w:type="dxa"/>
              <w:left w:w="100" w:type="dxa"/>
              <w:right w:w="100" w:type="dxa"/>
            </w:tcMar>
            <w:shd w:fill="F8FAFC"/>
          </w:tcPr>
          <w:p>
            <w:r>
              <w:rPr>
                <w:rFonts w:ascii="Calibri" w:hAnsi="Calibri"/>
                <w:b/>
                <w:color w:val="0F172A"/>
                <w:sz w:val="18"/>
              </w:rPr>
              <w:t>Carrying Capacity Bounds</w:t>
            </w:r>
          </w:p>
        </w:tc>
        <w:tc>
          <w:tcPr>
            <w:tcW w:type="dxa" w:w="3010"/>
            <w:tcMar>
              <w:top w:w="80" w:type="dxa"/>
              <w:bottom w:w="80" w:type="dxa"/>
              <w:left w:w="100" w:type="dxa"/>
              <w:right w:w="100" w:type="dxa"/>
            </w:tcMar>
            <w:shd w:fill="FFFFFF"/>
          </w:tcPr>
          <w:p>
            <w:r>
              <w:rPr>
                <w:rFonts w:ascii="Calibri" w:hAnsi="Calibri"/>
                <w:color w:val="1E293B"/>
                <w:sz w:val="18"/>
              </w:rPr>
              <w:t>Verify that for all t ∈ [0, T], 0 ≤ I_t ≤ N under all β, m</w:t>
            </w:r>
          </w:p>
        </w:tc>
        <w:tc>
          <w:tcPr>
            <w:tcW w:type="dxa" w:w="3010"/>
            <w:tcMar>
              <w:top w:w="80" w:type="dxa"/>
              <w:bottom w:w="80" w:type="dxa"/>
              <w:left w:w="100" w:type="dxa"/>
              <w:right w:w="100" w:type="dxa"/>
            </w:tcMar>
            <w:shd w:fill="ECFDF5"/>
          </w:tcPr>
          <w:p>
            <w:r>
              <w:rPr>
                <w:rFonts w:ascii="Calibri" w:hAnsi="Calibri"/>
                <w:color w:val="059669"/>
                <w:sz w:val="18"/>
              </w:rPr>
              <w:t>Passed: Min/Max clamp strictly prevents population overflow (I_t ≤ 10,000)</w:t>
            </w:r>
          </w:p>
        </w:tc>
      </w:tr>
      <w:tr>
        <w:tc>
          <w:tcPr>
            <w:tcW w:type="dxa" w:w="3010"/>
            <w:tcMar>
              <w:top w:w="80" w:type="dxa"/>
              <w:bottom w:w="80" w:type="dxa"/>
              <w:left w:w="100" w:type="dxa"/>
              <w:right w:w="100" w:type="dxa"/>
            </w:tcMar>
            <w:shd w:fill="F8FAFC"/>
          </w:tcPr>
          <w:p>
            <w:r>
              <w:rPr>
                <w:rFonts w:ascii="Calibri" w:hAnsi="Calibri"/>
                <w:b/>
                <w:color w:val="0F172A"/>
                <w:sz w:val="18"/>
              </w:rPr>
              <w:t>Monotonic Growth Verification</w:t>
            </w:r>
          </w:p>
        </w:tc>
        <w:tc>
          <w:tcPr>
            <w:tcW w:type="dxa" w:w="3010"/>
            <w:tcMar>
              <w:top w:w="80" w:type="dxa"/>
              <w:bottom w:w="80" w:type="dxa"/>
              <w:left w:w="100" w:type="dxa"/>
              <w:right w:w="100" w:type="dxa"/>
            </w:tcMar>
            <w:shd w:fill="FFFFFF"/>
          </w:tcPr>
          <w:p>
            <w:r>
              <w:rPr>
                <w:rFonts w:ascii="Calibri" w:hAnsi="Calibri"/>
                <w:color w:val="1E293B"/>
                <w:sz w:val="18"/>
              </w:rPr>
              <w:t>Verify cumulative exposure is non-decreasing: I_{t+1} ≥ I_t</w:t>
            </w:r>
          </w:p>
        </w:tc>
        <w:tc>
          <w:tcPr>
            <w:tcW w:type="dxa" w:w="3010"/>
            <w:tcMar>
              <w:top w:w="80" w:type="dxa"/>
              <w:bottom w:w="80" w:type="dxa"/>
              <w:left w:w="100" w:type="dxa"/>
              <w:right w:w="100" w:type="dxa"/>
            </w:tcMar>
            <w:shd w:fill="ECFDF5"/>
          </w:tcPr>
          <w:p>
            <w:r>
              <w:rPr>
                <w:rFonts w:ascii="Calibri" w:hAnsi="Calibri"/>
                <w:color w:val="059669"/>
                <w:sz w:val="18"/>
              </w:rPr>
              <w:t>Passed: Monotonic growth strictly verified across all positive parameter sets</w:t>
            </w:r>
          </w:p>
        </w:tc>
      </w:tr>
      <w:tr>
        <w:tc>
          <w:tcPr>
            <w:tcW w:type="dxa" w:w="3010"/>
            <w:tcMar>
              <w:top w:w="80" w:type="dxa"/>
              <w:bottom w:w="80" w:type="dxa"/>
              <w:left w:w="100" w:type="dxa"/>
              <w:right w:w="100" w:type="dxa"/>
            </w:tcMar>
            <w:shd w:fill="F8FAFC"/>
          </w:tcPr>
          <w:p>
            <w:r>
              <w:rPr>
                <w:rFonts w:ascii="Calibri" w:hAnsi="Calibri"/>
                <w:b/>
                <w:color w:val="0F172A"/>
                <w:sz w:val="18"/>
              </w:rPr>
              <w:t>Nash Equilibrium Determinism</w:t>
            </w:r>
          </w:p>
        </w:tc>
        <w:tc>
          <w:tcPr>
            <w:tcW w:type="dxa" w:w="3010"/>
            <w:tcMar>
              <w:top w:w="80" w:type="dxa"/>
              <w:bottom w:w="80" w:type="dxa"/>
              <w:left w:w="100" w:type="dxa"/>
              <w:right w:w="100" w:type="dxa"/>
            </w:tcMar>
            <w:shd w:fill="FFFFFF"/>
          </w:tcPr>
          <w:p>
            <w:r>
              <w:rPr>
                <w:rFonts w:ascii="Calibri" w:hAnsi="Calibri"/>
                <w:color w:val="1E293B"/>
                <w:sz w:val="18"/>
              </w:rPr>
              <w:t>Verify solver output for baseline matrix matches manual mathematical proof</w:t>
            </w:r>
          </w:p>
        </w:tc>
        <w:tc>
          <w:tcPr>
            <w:tcW w:type="dxa" w:w="3010"/>
            <w:tcMar>
              <w:top w:w="80" w:type="dxa"/>
              <w:bottom w:w="80" w:type="dxa"/>
              <w:left w:w="100" w:type="dxa"/>
              <w:right w:w="100" w:type="dxa"/>
            </w:tcMar>
            <w:shd w:fill="ECFDF5"/>
          </w:tcPr>
          <w:p>
            <w:r>
              <w:rPr>
                <w:rFonts w:ascii="Calibri" w:hAnsi="Calibri"/>
                <w:color w:val="059669"/>
                <w:sz w:val="18"/>
              </w:rPr>
              <w:t>Passed: Computed unique pure-strategy Nash equilibrium at (N, M) with (0, 2)</w:t>
            </w:r>
          </w:p>
        </w:tc>
      </w:tr>
      <w:tr>
        <w:tc>
          <w:tcPr>
            <w:tcW w:type="dxa" w:w="3010"/>
            <w:tcMar>
              <w:top w:w="80" w:type="dxa"/>
              <w:bottom w:w="80" w:type="dxa"/>
              <w:left w:w="100" w:type="dxa"/>
              <w:right w:w="100" w:type="dxa"/>
            </w:tcMar>
            <w:shd w:fill="F8FAFC"/>
          </w:tcPr>
          <w:p>
            <w:r>
              <w:rPr>
                <w:rFonts w:ascii="Calibri" w:hAnsi="Calibri"/>
                <w:b/>
                <w:color w:val="0F172A"/>
                <w:sz w:val="18"/>
              </w:rPr>
              <w:t>Strict Dominance Solver</w:t>
            </w:r>
          </w:p>
        </w:tc>
        <w:tc>
          <w:tcPr>
            <w:tcW w:type="dxa" w:w="3010"/>
            <w:tcMar>
              <w:top w:w="80" w:type="dxa"/>
              <w:bottom w:w="80" w:type="dxa"/>
              <w:left w:w="100" w:type="dxa"/>
              <w:right w:w="100" w:type="dxa"/>
            </w:tcMar>
            <w:shd w:fill="FFFFFF"/>
          </w:tcPr>
          <w:p>
            <w:r>
              <w:rPr>
                <w:rFonts w:ascii="Calibri" w:hAnsi="Calibri"/>
                <w:color w:val="1E293B"/>
                <w:sz w:val="18"/>
              </w:rPr>
              <w:t>Verify identification of Platform Strong Moderation as strictly dominant</w:t>
            </w:r>
          </w:p>
        </w:tc>
        <w:tc>
          <w:tcPr>
            <w:tcW w:type="dxa" w:w="3010"/>
            <w:tcMar>
              <w:top w:w="80" w:type="dxa"/>
              <w:bottom w:w="80" w:type="dxa"/>
              <w:left w:w="100" w:type="dxa"/>
              <w:right w:w="100" w:type="dxa"/>
            </w:tcMar>
            <w:shd w:fill="ECFDF5"/>
          </w:tcPr>
          <w:p>
            <w:r>
              <w:rPr>
                <w:rFonts w:ascii="Calibri" w:hAnsi="Calibri"/>
                <w:color w:val="059669"/>
                <w:sz w:val="18"/>
              </w:rPr>
              <w:t>Passed: Confirmed u_2(s, M) &gt; u_2(s, W) across all s ∈ {S, N}</w:t>
            </w:r>
          </w:p>
        </w:tc>
      </w:tr>
      <w:tr>
        <w:tc>
          <w:tcPr>
            <w:tcW w:type="dxa" w:w="3010"/>
            <w:tcMar>
              <w:top w:w="80" w:type="dxa"/>
              <w:bottom w:w="80" w:type="dxa"/>
              <w:left w:w="100" w:type="dxa"/>
              <w:right w:w="100" w:type="dxa"/>
            </w:tcMar>
            <w:shd w:fill="F8FAFC"/>
          </w:tcPr>
          <w:p>
            <w:r>
              <w:rPr>
                <w:rFonts w:ascii="Calibri" w:hAnsi="Calibri"/>
                <w:b/>
                <w:color w:val="0F172A"/>
                <w:sz w:val="18"/>
              </w:rPr>
              <w:t>Dynamic Matrix Recalculation</w:t>
            </w:r>
          </w:p>
        </w:tc>
        <w:tc>
          <w:tcPr>
            <w:tcW w:type="dxa" w:w="3010"/>
            <w:tcMar>
              <w:top w:w="80" w:type="dxa"/>
              <w:bottom w:w="80" w:type="dxa"/>
              <w:left w:w="100" w:type="dxa"/>
              <w:right w:w="100" w:type="dxa"/>
            </w:tcMar>
            <w:shd w:fill="FFFFFF"/>
          </w:tcPr>
          <w:p>
            <w:r>
              <w:rPr>
                <w:rFonts w:ascii="Calibri" w:hAnsi="Calibri"/>
                <w:color w:val="1E293B"/>
                <w:sz w:val="18"/>
              </w:rPr>
              <w:t>Verify equilibrium recalculates when payoff inputs are altered in real time</w:t>
            </w:r>
          </w:p>
        </w:tc>
        <w:tc>
          <w:tcPr>
            <w:tcW w:type="dxa" w:w="3010"/>
            <w:tcMar>
              <w:top w:w="80" w:type="dxa"/>
              <w:bottom w:w="80" w:type="dxa"/>
              <w:left w:w="100" w:type="dxa"/>
              <w:right w:w="100" w:type="dxa"/>
            </w:tcMar>
            <w:shd w:fill="ECFDF5"/>
          </w:tcPr>
          <w:p>
            <w:r>
              <w:rPr>
                <w:rFonts w:ascii="Calibri" w:hAnsi="Calibri"/>
                <w:color w:val="059669"/>
                <w:sz w:val="18"/>
              </w:rPr>
              <w:t>Passed: Real-time event listener recomputes best responses and highlights new Nash cells</w:t>
            </w:r>
          </w:p>
        </w:tc>
      </w:tr>
      <w:tr>
        <w:tc>
          <w:tcPr>
            <w:tcW w:type="dxa" w:w="3010"/>
            <w:tcMar>
              <w:top w:w="80" w:type="dxa"/>
              <w:bottom w:w="80" w:type="dxa"/>
              <w:left w:w="100" w:type="dxa"/>
              <w:right w:w="100" w:type="dxa"/>
            </w:tcMar>
            <w:shd w:fill="F8FAFC"/>
          </w:tcPr>
          <w:p>
            <w:r>
              <w:rPr>
                <w:rFonts w:ascii="Calibri" w:hAnsi="Calibri"/>
                <w:b/>
                <w:color w:val="0F172A"/>
                <w:sz w:val="18"/>
              </w:rPr>
              <w:t>Theme Switching Contrast</w:t>
            </w:r>
          </w:p>
        </w:tc>
        <w:tc>
          <w:tcPr>
            <w:tcW w:type="dxa" w:w="3010"/>
            <w:tcMar>
              <w:top w:w="80" w:type="dxa"/>
              <w:bottom w:w="80" w:type="dxa"/>
              <w:left w:w="100" w:type="dxa"/>
              <w:right w:w="100" w:type="dxa"/>
            </w:tcMar>
            <w:shd w:fill="FFFFFF"/>
          </w:tcPr>
          <w:p>
            <w:r>
              <w:rPr>
                <w:rFonts w:ascii="Calibri" w:hAnsi="Calibri"/>
                <w:color w:val="1E293B"/>
                <w:sz w:val="18"/>
              </w:rPr>
              <w:t>Automated DOM color audit across dark (:root) and light ([data-theme="paper"])</w:t>
            </w:r>
          </w:p>
        </w:tc>
        <w:tc>
          <w:tcPr>
            <w:tcW w:type="dxa" w:w="3010"/>
            <w:tcMar>
              <w:top w:w="80" w:type="dxa"/>
              <w:bottom w:w="80" w:type="dxa"/>
              <w:left w:w="100" w:type="dxa"/>
              <w:right w:w="100" w:type="dxa"/>
            </w:tcMar>
            <w:shd w:fill="ECFDF5"/>
          </w:tcPr>
          <w:p>
            <w:r>
              <w:rPr>
                <w:rFonts w:ascii="Calibri" w:hAnsi="Calibri"/>
                <w:color w:val="059669"/>
                <w:sz w:val="18"/>
              </w:rPr>
              <w:t>Passed: 0 low-contrast text elements; verified WCAG AA compliance</w:t>
            </w:r>
          </w:p>
        </w:tc>
      </w:tr>
      <w:tr>
        <w:tc>
          <w:tcPr>
            <w:tcW w:type="dxa" w:w="3010"/>
            <w:tcMar>
              <w:top w:w="80" w:type="dxa"/>
              <w:bottom w:w="80" w:type="dxa"/>
              <w:left w:w="100" w:type="dxa"/>
              <w:right w:w="100" w:type="dxa"/>
            </w:tcMar>
            <w:shd w:fill="F8FAFC"/>
          </w:tcPr>
          <w:p>
            <w:r>
              <w:rPr>
                <w:rFonts w:ascii="Calibri" w:hAnsi="Calibri"/>
                <w:b/>
                <w:color w:val="0F172A"/>
                <w:sz w:val="18"/>
              </w:rPr>
              <w:t>Production Build Validation</w:t>
            </w:r>
          </w:p>
        </w:tc>
        <w:tc>
          <w:tcPr>
            <w:tcW w:type="dxa" w:w="3010"/>
            <w:tcMar>
              <w:top w:w="80" w:type="dxa"/>
              <w:bottom w:w="80" w:type="dxa"/>
              <w:left w:w="100" w:type="dxa"/>
              <w:right w:w="100" w:type="dxa"/>
            </w:tcMar>
            <w:shd w:fill="FFFFFF"/>
          </w:tcPr>
          <w:p>
            <w:r>
              <w:rPr>
                <w:rFonts w:ascii="Calibri" w:hAnsi="Calibri"/>
                <w:color w:val="1E293B"/>
                <w:sz w:val="18"/>
              </w:rPr>
              <w:t>Execute vite build to verify static distribution compilation</w:t>
            </w:r>
          </w:p>
        </w:tc>
        <w:tc>
          <w:tcPr>
            <w:tcW w:type="dxa" w:w="3010"/>
            <w:tcMar>
              <w:top w:w="80" w:type="dxa"/>
              <w:bottom w:w="80" w:type="dxa"/>
              <w:left w:w="100" w:type="dxa"/>
              <w:right w:w="100" w:type="dxa"/>
            </w:tcMar>
            <w:shd w:fill="ECFDF5"/>
          </w:tcPr>
          <w:p>
            <w:r>
              <w:rPr>
                <w:rFonts w:ascii="Calibri" w:hAnsi="Calibri"/>
                <w:color w:val="059669"/>
                <w:sz w:val="18"/>
              </w:rPr>
              <w:t>Passed: Production bundle generated successfully in 394ms with 0 errors</w:t>
            </w:r>
          </w:p>
        </w:tc>
      </w:tr>
    </w:tbl>
    <w:p>
      <w:pPr>
        <w:spacing w:after="120"/>
      </w:pPr>
    </w:p>
    <w:p>
      <w:pPr>
        <w:keepNext/>
        <w:spacing w:before="360" w:after="120"/>
      </w:pPr>
      <w:r>
        <w:rPr>
          <w:rFonts w:ascii="Georgia" w:hAnsi="Georgia"/>
          <w:b/>
          <w:color w:val="0F172A"/>
          <w:sz w:val="32"/>
        </w:rPr>
        <w:t>11. Limitations and Future Scope</w:t>
      </w:r>
    </w:p>
    <w:p>
      <w:pPr>
        <w:spacing w:before="0" w:after="100" w:line="276" w:lineRule="auto"/>
      </w:pPr>
      <w:r>
        <w:rPr>
          <w:rFonts w:ascii="Calibri" w:hAnsi="Calibri"/>
          <w:color w:val="1E293B"/>
          <w:sz w:val="22"/>
        </w:rPr>
        <w:t>While the model successfully demonstrates strategic deterrence and contagion suppression, several academic limitations should be noted:</w:t>
      </w:r>
    </w:p>
    <w:p>
      <w:pPr>
        <w:spacing w:before="0" w:after="100" w:line="276" w:lineRule="auto"/>
      </w:pPr>
      <w:r>
        <w:rPr>
          <w:rFonts w:ascii="Calibri" w:hAnsi="Calibri"/>
          <w:color w:val="1E293B"/>
          <w:sz w:val="22"/>
        </w:rPr>
        <w:t>• Homogeneous Mixing Simplification: The standard logistic differential equation assumes uniform interaction probability across all individuals, abstracting away community clustering, echo chambers, and scale-free hub degree distributions.</w:t>
      </w:r>
    </w:p>
    <w:p>
      <w:pPr>
        <w:spacing w:before="0" w:after="100" w:line="276" w:lineRule="auto"/>
      </w:pPr>
      <w:r>
        <w:rPr>
          <w:rFonts w:ascii="Calibri" w:hAnsi="Calibri"/>
          <w:color w:val="1E293B"/>
          <w:sz w:val="22"/>
        </w:rPr>
        <w:t>• Static Normal-Form Framework: The game evaluates single-stage simultaneous strategic decisions, whereas real social media interactions operate as multi-period, repeated stochastic interactions where players dynamically update beliefs.</w:t>
      </w:r>
    </w:p>
    <w:p>
      <w:pPr>
        <w:spacing w:before="0" w:after="100" w:line="276" w:lineRule="auto"/>
      </w:pPr>
      <w:r>
        <w:rPr>
          <w:rFonts w:ascii="Calibri" w:hAnsi="Calibri"/>
          <w:color w:val="1E293B"/>
          <w:sz w:val="22"/>
        </w:rPr>
        <w:t>• Stylized Utility Scores: Payoff values represent normalized educational utility rankings rather than empirically measured financial accounting figures.</w:t>
      </w:r>
    </w:p>
    <w:p>
      <w:pPr>
        <w:spacing w:before="0" w:after="100" w:line="276" w:lineRule="auto"/>
      </w:pPr>
      <w:r>
        <w:rPr>
          <w:rFonts w:ascii="Calibri" w:hAnsi="Calibri"/>
          <w:color w:val="1E293B"/>
          <w:sz w:val="22"/>
        </w:rPr>
        <w:t>• Perfectly Rational Agent Assumption: Human content sharers frequently act out of cognitive bias, ideological emotion, or bounded rationality rather than strict utility-maximizing calculus.</w:t>
      </w:r>
    </w:p>
    <w:p>
      <w:pPr>
        <w:spacing w:before="0" w:after="100" w:line="276" w:lineRule="auto"/>
      </w:pPr>
      <w:r>
        <w:rPr>
          <w:rFonts w:ascii="Calibri" w:hAnsi="Calibri"/>
          <w:color w:val="1E293B"/>
          <w:sz w:val="22"/>
        </w:rPr>
        <w:t>Promising directions for future academic research and extension include:</w:t>
        <w:br/>
        <w:t>1. Repeated &amp; Dynamic Games: Formulating multi-stage games with discount factor δ to analyze how reputation histories and repeated interaction influence deterrence stability.</w:t>
        <w:br/>
        <w:t>2. Bayesian Incomplete Information: Introducing asymmetric information where the platform is uncertain whether a sharer is a profit-driven spammer or an ideologically committed zealot.</w:t>
        <w:br/>
        <w:t>3. Explicit Network Topologies: Integrating synthetic Barabási–Albert scale-free graphs into the macroscopic differential equations to model targeted hub node immunization.</w:t>
        <w:br/>
        <w:t>4. Multi-Agent Reinforcement Learning: Modeling adaptive evasion strategies where automated adversarial content creators evolve linguistic phrasing to evade platform NLP filters.</w:t>
      </w:r>
    </w:p>
    <w:p>
      <w:pPr>
        <w:keepNext/>
        <w:spacing w:before="360" w:after="120"/>
      </w:pPr>
      <w:r>
        <w:rPr>
          <w:rFonts w:ascii="Georgia" w:hAnsi="Georgia"/>
          <w:b/>
          <w:color w:val="0F172A"/>
          <w:sz w:val="32"/>
        </w:rPr>
        <w:t>12. Conclusion</w:t>
      </w:r>
    </w:p>
    <w:p>
      <w:pPr>
        <w:spacing w:before="0" w:after="100" w:line="276" w:lineRule="auto"/>
      </w:pPr>
      <w:r>
        <w:rPr>
          <w:rFonts w:ascii="Calibri" w:hAnsi="Calibri"/>
          <w:color w:val="1E293B"/>
          <w:sz w:val="22"/>
        </w:rPr>
        <w:t>This academic project has successfully formulated, analyzed, and implemented a unified game-theoretic and epidemiological contagion simulation dashboard evaluating the strategic deterrence of fake news propagation. By structuring the interaction as a 2-player normal-form game, the model demonstrates that social media platform moderation is not merely an algorithmic filtering problem, but a strategic dilemma governed by interdependent behavioral incentives. The analysis proves that when a platform establishes credible, strictly dominant enforcement (Strong Moderation, M), rational content sharers find viral exploitation unprofitable (-2.0 &lt; 0.0), locking in a unique, self-enforcing pure-strategy Nash equilibrium at (N, M) with payoffs (0.0, 2.0).</w:t>
      </w:r>
    </w:p>
    <w:p>
      <w:pPr>
        <w:spacing w:before="0" w:after="100" w:line="276" w:lineRule="auto"/>
      </w:pPr>
      <w:r>
        <w:rPr>
          <w:rFonts w:ascii="Calibri" w:hAnsi="Calibri"/>
          <w:color w:val="1E293B"/>
          <w:sz w:val="22"/>
        </w:rPr>
        <w:t>Coupling this strategic equilibrium with a discrete non-linear logistic contagion recurrence demonstrates the macroscopic benefits of institutional enforcement: an active moderation policy of m = 0.50 delays epidemic acceleration by 14 steps, flattens peak exposure by 40.5%, and preserves 4,044 out of 10,000 users from false narrative exposure. Re-engineering the platform into a modern, pure HTML5/CSS3/JavaScript web dashboard with dual-theme accessibility and zero backend dependencies enables seamless deployment on Vercel, providing a transparent, interactive research tool for university-level Game Theory and Information Security education.</w:t>
      </w:r>
    </w:p>
    <w:p>
      <w:r>
        <w:br w:type="page"/>
      </w:r>
    </w:p>
    <w:p>
      <w:pPr>
        <w:keepNext/>
        <w:spacing w:before="360" w:after="120"/>
      </w:pPr>
      <w:r>
        <w:rPr>
          <w:rFonts w:ascii="Georgia" w:hAnsi="Georgia"/>
          <w:b/>
          <w:color w:val="0F172A"/>
          <w:sz w:val="32"/>
        </w:rPr>
        <w:t>References</w:t>
      </w:r>
    </w:p>
    <w:p>
      <w:pPr>
        <w:spacing w:before="40" w:after="80" w:line="276" w:lineRule="auto"/>
      </w:pPr>
      <w:r>
        <w:rPr>
          <w:rFonts w:ascii="Calibri" w:hAnsi="Calibri"/>
          <w:color w:val="1E293B"/>
          <w:sz w:val="20"/>
        </w:rPr>
        <w:t>1. von Neumann, J., &amp; Morgenstern, O. (1944). Theory of Games and Economic Behavior. Princeton University Press.</w:t>
      </w:r>
    </w:p>
    <w:p>
      <w:pPr>
        <w:spacing w:before="40" w:after="80" w:line="276" w:lineRule="auto"/>
      </w:pPr>
      <w:r>
        <w:rPr>
          <w:rFonts w:ascii="Calibri" w:hAnsi="Calibri"/>
          <w:color w:val="1E293B"/>
          <w:sz w:val="20"/>
        </w:rPr>
        <w:t>2. Nash, J. F. (1950). Equilibrium points in n-person games. Proceedings of the National Academy of Sciences, 36(1), 48–49.</w:t>
      </w:r>
    </w:p>
    <w:p>
      <w:pPr>
        <w:spacing w:before="40" w:after="80" w:line="276" w:lineRule="auto"/>
      </w:pPr>
      <w:r>
        <w:rPr>
          <w:rFonts w:ascii="Calibri" w:hAnsi="Calibri"/>
          <w:color w:val="1E293B"/>
          <w:sz w:val="20"/>
        </w:rPr>
        <w:t>3. Osborne, M. J. (2004). An Introduction to Game Theory. Oxford University Press.</w:t>
      </w:r>
    </w:p>
    <w:p>
      <w:pPr>
        <w:spacing w:before="40" w:after="80" w:line="276" w:lineRule="auto"/>
      </w:pPr>
      <w:r>
        <w:rPr>
          <w:rFonts w:ascii="Calibri" w:hAnsi="Calibri"/>
          <w:color w:val="1E293B"/>
          <w:sz w:val="20"/>
        </w:rPr>
        <w:t>4. Gibbons, R. (1992). Game Theory for Applied Economists. Princeton University Press.</w:t>
      </w:r>
    </w:p>
    <w:p>
      <w:pPr>
        <w:spacing w:before="40" w:after="80" w:line="276" w:lineRule="auto"/>
      </w:pPr>
      <w:r>
        <w:rPr>
          <w:rFonts w:ascii="Calibri" w:hAnsi="Calibri"/>
          <w:color w:val="1E293B"/>
          <w:sz w:val="20"/>
        </w:rPr>
        <w:t>5. Bailey, N. T. (1975). The Mathematical Theory of Infectious Diseases and its Applications (2nd ed.). Charles Griffin &amp; Company.</w:t>
      </w:r>
    </w:p>
    <w:p>
      <w:pPr>
        <w:spacing w:before="40" w:after="80" w:line="276" w:lineRule="auto"/>
      </w:pPr>
      <w:r>
        <w:rPr>
          <w:rFonts w:ascii="Calibri" w:hAnsi="Calibri"/>
          <w:color w:val="1E293B"/>
          <w:sz w:val="20"/>
        </w:rPr>
        <w:t>6. Vosoughi, S., Roy, D., &amp; Aral, S. (2018). The spread of true and false news online. Science, 359(6380), 1146–1151.</w:t>
      </w:r>
    </w:p>
    <w:p>
      <w:pPr>
        <w:spacing w:before="40" w:after="80" w:line="276" w:lineRule="auto"/>
      </w:pPr>
      <w:r>
        <w:rPr>
          <w:rFonts w:ascii="Calibri" w:hAnsi="Calibri"/>
          <w:color w:val="1E293B"/>
          <w:sz w:val="20"/>
        </w:rPr>
        <w:t>7. Lazer, D. M., et al. (2018). The science of fake news. Science, 359(6380), 1094–1096.</w:t>
      </w:r>
    </w:p>
    <w:p>
      <w:pPr>
        <w:spacing w:before="40" w:after="80" w:line="276" w:lineRule="auto"/>
      </w:pPr>
      <w:r>
        <w:rPr>
          <w:rFonts w:ascii="Calibri" w:hAnsi="Calibri"/>
          <w:color w:val="1E293B"/>
          <w:sz w:val="20"/>
        </w:rPr>
        <w:t>8. Acemoglu, D., Ozdaglar, A., &amp; ParandehGheibi, A. (2010). Spread of (mis)information in social networks. Games and Economic Behavior, 70(2), 194–227.</w:t>
      </w:r>
    </w:p>
    <w:p>
      <w:pPr>
        <w:spacing w:before="40" w:after="80" w:line="276" w:lineRule="auto"/>
      </w:pPr>
      <w:r>
        <w:rPr>
          <w:rFonts w:ascii="Calibri" w:hAnsi="Calibri"/>
          <w:color w:val="1E293B"/>
          <w:sz w:val="20"/>
        </w:rPr>
        <w:t>9. GreenSock Inc. (2024). GSAP Documentation and Core Architecture. https://greensock.com/docs/</w:t>
      </w:r>
    </w:p>
    <w:p>
      <w:pPr>
        <w:spacing w:before="40" w:after="80" w:line="276" w:lineRule="auto"/>
      </w:pPr>
      <w:r>
        <w:rPr>
          <w:rFonts w:ascii="Calibri" w:hAnsi="Calibri"/>
          <w:color w:val="1E293B"/>
          <w:sz w:val="20"/>
        </w:rPr>
        <w:t>10. Vercel Inc. (2024). Vercel Edge Network Architecture and Deployment Guide. https://vercel.com/docs</w:t>
      </w:r>
    </w:p>
    <w:p>
      <w:pPr>
        <w:keepNext/>
        <w:spacing w:before="360" w:after="120"/>
      </w:pPr>
      <w:r>
        <w:rPr>
          <w:rFonts w:ascii="Georgia" w:hAnsi="Georgia"/>
          <w:b/>
          <w:color w:val="0F172A"/>
          <w:sz w:val="32"/>
        </w:rPr>
        <w:t>Appendix A: Running the Application Locally and Vercel Deployment</w:t>
      </w:r>
    </w:p>
    <w:p>
      <w:pPr>
        <w:spacing w:before="0" w:after="100" w:line="276" w:lineRule="auto"/>
      </w:pPr>
      <w:r>
        <w:rPr>
          <w:rFonts w:ascii="Calibri" w:hAnsi="Calibri"/>
          <w:b/>
          <w:color w:val="0F172A"/>
          <w:sz w:val="22"/>
        </w:rPr>
        <w:t xml:space="preserve">Local Execution Workflow: </w:t>
      </w:r>
      <w:r>
        <w:rPr>
          <w:rFonts w:ascii="Calibri" w:hAnsi="Calibri"/>
          <w:color w:val="1E293B"/>
          <w:sz w:val="22"/>
        </w:rPr>
        <w:t>A.1 Local Development Instructions:</w:t>
        <w:br/>
        <w:t>1. Ensure Node.js (version 18 or higher) is installed on the host system.</w:t>
        <w:br/>
        <w:t>2. Navigate to the project root directory:</w:t>
        <w:br/>
        <w:t xml:space="preserve">   $ cd fake_news_cws_project_js</w:t>
        <w:br/>
        <w:t>3. Install dependencies:</w:t>
        <w:br/>
        <w:t xml:space="preserve">   $ npm install</w:t>
        <w:br/>
        <w:t>4. Launch the local Vite development server:</w:t>
        <w:br/>
        <w:t xml:space="preserve">   $ npm run dev</w:t>
        <w:br/>
        <w:t>5. Open your web browser to http://localhost:5173.</w:t>
        <w:br/>
        <w:t>6. To compile an optimized static production distribution:</w:t>
        <w:br/>
        <w:t xml:space="preserve">   $ npm run build</w:t>
        <w:br/>
        <w:t xml:space="preserve">   $ npm run preview</w:t>
      </w:r>
    </w:p>
    <w:p>
      <w:pPr>
        <w:spacing w:before="0" w:after="100" w:line="276" w:lineRule="auto"/>
      </w:pPr>
      <w:r>
        <w:rPr>
          <w:rFonts w:ascii="Calibri" w:hAnsi="Calibri"/>
          <w:b/>
          <w:color w:val="0F172A"/>
          <w:sz w:val="22"/>
        </w:rPr>
        <w:t xml:space="preserve">Cloud Hosting Pipeline: </w:t>
      </w:r>
      <w:r>
        <w:rPr>
          <w:rFonts w:ascii="Calibri" w:hAnsi="Calibri"/>
          <w:color w:val="1E293B"/>
          <w:sz w:val="22"/>
        </w:rPr>
        <w:t>A.2 Vercel Cloud Deployment Workflow:</w:t>
        <w:br/>
        <w:t>1. Push the clean repository to GitHub: https://github.com/shreshth-j/fake_news_cws_project_js.git</w:t>
        <w:br/>
        <w:t>2. Log in to Vercel (https://vercel.com) and click 'Add New Project'.</w:t>
        <w:br/>
        <w:t>3. Import the fake_news_cws_project_js repository.</w:t>
        <w:br/>
        <w:t>4. Vercel automatically detects the Vite framework preset:</w:t>
        <w:br/>
        <w:t xml:space="preserve">   • Framework Preset: Vite</w:t>
        <w:br/>
        <w:t xml:space="preserve">   • Build Command: vite build (or npm run build)</w:t>
        <w:br/>
        <w:t xml:space="preserve">   • Output Directory: dist</w:t>
        <w:br/>
        <w:t xml:space="preserve">   • Install Command: npm install</w:t>
        <w:br/>
        <w:t>5. Click 'Deploy'. The application will be live worldwide on Vercel's global edge network within 30 seconds.</w:t>
      </w:r>
    </w:p>
    <w:p>
      <w:pPr>
        <w:keepNext/>
        <w:spacing w:before="360" w:after="120"/>
      </w:pPr>
      <w:r>
        <w:rPr>
          <w:rFonts w:ascii="Georgia" w:hAnsi="Georgia"/>
          <w:b/>
          <w:color w:val="0F172A"/>
          <w:sz w:val="32"/>
        </w:rPr>
        <w:t>Appendix B: Verified Application Screenshots</w:t>
      </w:r>
    </w:p>
    <w:p>
      <w:pPr>
        <w:keepNext/>
        <w:spacing w:before="160" w:after="80"/>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4_theory_concepts.png"/>
                    <pic:cNvPicPr/>
                  </pic:nvPicPr>
                  <pic:blipFill>
                    <a:blip r:embed="rId14"/>
                    <a:stretch>
                      <a:fillRect/>
                    </a:stretch>
                  </pic:blipFill>
                  <pic:spPr>
                    <a:xfrm>
                      <a:off x="0" y="0"/>
                      <a:ext cx="5486400" cy="3857625"/>
                    </a:xfrm>
                    <a:prstGeom prst="rect"/>
                  </pic:spPr>
                </pic:pic>
              </a:graphicData>
            </a:graphic>
          </wp:inline>
        </w:drawing>
      </w:r>
    </w:p>
    <w:p>
      <w:pPr>
        <w:spacing w:before="0" w:after="240"/>
        <w:jc w:val="center"/>
      </w:pPr>
      <w:r>
        <w:rPr>
          <w:rFonts w:ascii="Calibri" w:hAnsi="Calibri"/>
          <w:i/>
          <w:color w:val="334155"/>
          <w:sz w:val="19"/>
        </w:rPr>
        <w:t>Figure 4: Formal Game Theory and Security Principles reference table linking theory directly to realized simulation states.</w:t>
      </w:r>
    </w:p>
    <w:p>
      <w:pPr>
        <w:keepNext/>
        <w:spacing w:before="160" w:after="80"/>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05_light_mode_dashboard.png"/>
                    <pic:cNvPicPr/>
                  </pic:nvPicPr>
                  <pic:blipFill>
                    <a:blip r:embed="rId15"/>
                    <a:stretch>
                      <a:fillRect/>
                    </a:stretch>
                  </pic:blipFill>
                  <pic:spPr>
                    <a:xfrm>
                      <a:off x="0" y="0"/>
                      <a:ext cx="5486400" cy="3857625"/>
                    </a:xfrm>
                    <a:prstGeom prst="rect"/>
                  </pic:spPr>
                </pic:pic>
              </a:graphicData>
            </a:graphic>
          </wp:inline>
        </w:drawing>
      </w:r>
    </w:p>
    <w:p>
      <w:pPr>
        <w:spacing w:before="0" w:after="240"/>
        <w:jc w:val="center"/>
      </w:pPr>
      <w:r>
        <w:rPr>
          <w:rFonts w:ascii="Calibri" w:hAnsi="Calibri"/>
          <w:i/>
          <w:color w:val="334155"/>
          <w:sz w:val="19"/>
        </w:rPr>
        <w:t>Figure 5: High-Contrast Light Mode interface demonstrating dual-theme accessibility with dark charcoal typography against light backgrounds.</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B.Tech Academic Project Report  |  Course: Game Theory</w:t>
      <w:tab/>
      <w:tab/>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94A3B8"/>
        <w:sz w:val="17"/>
      </w:rPr>
      <w:t>Game-Theoretic Analysis of Fake News Propagation &amp; Platform Moderation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