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Interní</w:t>
      </w:r>
      <w:r>
        <w:t xml:space="preserve"> </w:t>
      </w:r>
      <w:r>
        <w:t xml:space="preserve">zadání</w:t>
      </w:r>
      <w:r>
        <w:t xml:space="preserve"> </w:t>
      </w:r>
      <w:r>
        <w:t xml:space="preserve">projektu</w:t>
      </w:r>
      <w:r>
        <w:t xml:space="preserve"> </w:t>
      </w:r>
      <w:r>
        <w:t xml:space="preserve">SENTINEL</w:t>
      </w:r>
      <w:r>
        <w:t xml:space="preserve"> </w:t>
      </w:r>
      <w:r>
        <w:t xml:space="preserve">–</w:t>
      </w:r>
      <w:r>
        <w:t xml:space="preserve"> </w:t>
      </w:r>
      <w:r>
        <w:t xml:space="preserve">výměna</w:t>
      </w:r>
      <w:r>
        <w:t xml:space="preserve"> </w:t>
      </w:r>
      <w:r>
        <w:t xml:space="preserve">KYC/AML</w:t>
      </w:r>
      <w:r>
        <w:t xml:space="preserve"> </w:t>
      </w:r>
      <w:r>
        <w:t xml:space="preserve">řešení</w:t>
      </w:r>
    </w:p>
    <w:p>
      <w:pPr>
        <w:pStyle w:val="Subtitle"/>
      </w:pPr>
      <w:r>
        <w:t xml:space="preserve">Horizont</w:t>
      </w:r>
      <w:r>
        <w:t xml:space="preserve"> </w:t>
      </w:r>
      <w:r>
        <w:t xml:space="preserve">Privátní</w:t>
      </w:r>
      <w:r>
        <w:t xml:space="preserve"> </w:t>
      </w:r>
      <w:r>
        <w:t xml:space="preserve">banka,</w:t>
      </w:r>
      <w:r>
        <w:t xml:space="preserve"> </w:t>
      </w:r>
      <w:r>
        <w:t xml:space="preserve">a.s.</w:t>
      </w:r>
      <w:r>
        <w:t xml:space="preserve"> </w:t>
      </w:r>
      <w:r>
        <w:t xml:space="preserve">·</w:t>
      </w:r>
      <w:r>
        <w:t xml:space="preserve"> </w:t>
      </w:r>
      <w:r>
        <w:t xml:space="preserve">Interní</w:t>
      </w:r>
      <w:r>
        <w:t xml:space="preserve"> </w:t>
      </w:r>
      <w:r>
        <w:t xml:space="preserve">·</w:t>
      </w:r>
      <w:r>
        <w:t xml:space="preserve"> </w:t>
      </w:r>
      <w:r>
        <w:t xml:space="preserve">verze</w:t>
      </w:r>
      <w:r>
        <w:t xml:space="preserve"> </w:t>
      </w:r>
      <w:r>
        <w:t xml:space="preserve">1.0</w:t>
      </w:r>
    </w:p>
    <w:p>
      <w:pPr>
        <w:pStyle w:val="Date"/>
      </w:pPr>
      <w:r>
        <w:t xml:space="preserve">23.</w:t>
      </w:r>
      <w:r>
        <w:t xml:space="preserve"> </w:t>
      </w:r>
      <w:r>
        <w:t xml:space="preserve">9.</w:t>
      </w:r>
      <w:r>
        <w:t xml:space="preserve"> </w:t>
      </w:r>
      <w:r>
        <w:t xml:space="preserve">2026</w:t>
      </w:r>
    </w:p>
    <w:p>
      <w:pPr>
        <w:pStyle w:val="BlockText"/>
      </w:pPr>
      <w:r>
        <w:rPr>
          <w:bCs/>
          <w:b/>
        </w:rPr>
        <w:t xml:space="preserve">Fiktivní cvičný dokument.</w:t>
      </w:r>
      <w:r>
        <w:t xml:space="preserve"> </w:t>
      </w:r>
      <w:r>
        <w:t xml:space="preserve">Banka, osoby, dodavatelé i čísla jsou smyšlené. Odkazy na právní předpisy odpovídají stavu k 10/2026; před reálným použitím je musí ověřit Legal.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c>
          <w:tcPr>
            <w:shd w:val="clear" w:fill="DDEBF7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Projekt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SENTINEL – výměna KYC/AML řešení napojeného na 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Sponzor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Karel Procházka, člen představenstva odpovědný za Compliance a provoz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Jana Novotná, business analytička / PO 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Klasifikace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Interní – důvěrné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Schváleno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SteerCo 23. 9. 2026</w:t>
            </w:r>
          </w:p>
        </w:tc>
      </w:tr>
    </w:tbl>
    <w:bookmarkStart w:id="20" w:name="shrnutí"/>
    <w:p>
      <w:pPr>
        <w:pStyle w:val="Heading1"/>
      </w:pPr>
      <w:r>
        <w:t xml:space="preserve">1. Shrnutí</w:t>
      </w:r>
    </w:p>
    <w:p>
      <w:pPr>
        <w:pStyle w:val="FirstParagraph"/>
      </w:pPr>
      <w:r>
        <w:t xml:space="preserve">Banka mění dodavatele AML řešení. Současný systém (nasazen 2014) končí s podporou 30. 6. 2028, nepokrývá požadavky nařízení (EU) 2024/1624 (AMLR) použitelného od 10. 7. 2027 a generuje přibližně 97 % falešně pozitivních shod. AML systém je integrován s CRM, které je core aplikací pro privátní bankéře, zákaznickou podporu i Compliance. Výměna proto není jen nákup software, ale změna procesů onboardingu, pravidelného screeningu a rozhodování o klientech.</w:t>
      </w:r>
    </w:p>
    <w:p>
      <w:pPr>
        <w:pStyle w:val="BodyText"/>
      </w:pPr>
      <w:r>
        <w:t xml:space="preserve">Cílem tohoto zadání je vybrat dodavatele transparentním výběrovým řízením, které je obhajitelné před Procurementem, interním auditem a ČNB, a připravit implementaci s go-live</w:t>
      </w:r>
      <w:r>
        <w:t xml:space="preserve"> </w:t>
      </w:r>
      <w:r>
        <w:rPr>
          <w:bCs/>
          <w:b/>
        </w:rPr>
        <w:t xml:space="preserve">do 31. 3. 2028</w:t>
      </w:r>
      <w:r>
        <w:t xml:space="preserve">.</w:t>
      </w:r>
    </w:p>
    <w:bookmarkEnd w:id="20"/>
    <w:bookmarkStart w:id="24" w:name="výchozí-stav"/>
    <w:p>
      <w:pPr>
        <w:pStyle w:val="Heading1"/>
      </w:pPr>
      <w:r>
        <w:t xml:space="preserve">2. Výchozí stav</w:t>
      </w:r>
    </w:p>
    <w:bookmarkStart w:id="21" w:name="profil-banky-fiktivní"/>
    <w:p>
      <w:pPr>
        <w:pStyle w:val="Heading2"/>
      </w:pPr>
      <w:r>
        <w:t xml:space="preserve">2.1 Profil banky (fiktivní)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Ukazatel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Hodnota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 instituce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Banka s licencí ČNB, privátní bankovnictví a správa majetku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Aktivní klienti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9 500 (65 % fyzické osoby, 35 % právnické osoby a struktury)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Prověřované subjekty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38 000 (klienti, zástupci, skuteční majitelé)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Nerezidenti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24 % klientů (SK, DE, AT, CH, UA, 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Transakce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 mil. ročně; 220 tis. zahraničních plateb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Uživatelé AML funkcí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(obchod 100, Compliance 30, podpora 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Rizikový 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18 % klientů s vysokým rizikem, 140 PEP</w:t>
            </w:r>
          </w:p>
        </w:tc>
      </w:tr>
    </w:tbl>
    <w:bookmarkEnd w:id="21"/>
    <w:bookmarkStart w:id="22" w:name="systémová-krajina"/>
    <w:p>
      <w:pPr>
        <w:pStyle w:val="Heading2"/>
      </w:pPr>
      <w:r>
        <w:t xml:space="preserve">2.2 Systémová krajina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Systém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Role vůči AML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Rozhraní dnes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 (core aplikace)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Onboarding, karta klienta, úkoly obchodníka, stav klienta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Point-to-point SOAP, noční dávka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Účty, transakce, klientská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Noční dávka (CSV)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Platební systém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SWIFT, SEPA, tuzemské platby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screening přes proprietární konektor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Integrační vrstva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(event streaming), ESB pro 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 zatím nevyužívá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Reporting, data pro ČNB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Noční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Dokumenty klienta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 napojení, ruční ukládání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IAM / SSO, 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Identita, privilegované účty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 má lokální účty (nález auditu)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SIEM,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Logy, dohled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 napojení</w:t>
            </w:r>
          </w:p>
        </w:tc>
      </w:tr>
    </w:tbl>
    <w:bookmarkEnd w:id="22"/>
    <w:bookmarkStart w:id="23" w:name="hlavní-problémy-z-analýzy-a-workshopů"/>
    <w:p>
      <w:pPr>
        <w:pStyle w:val="Heading2"/>
      </w:pPr>
      <w:r>
        <w:t xml:space="preserve">2.3 Hlavní problémy (z analýzy a workshopů)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Konec podpory a regulatorní mezera:</w:t>
      </w:r>
      <w:r>
        <w:t xml:space="preserve"> </w:t>
      </w:r>
      <w:r>
        <w:t xml:space="preserve">dodavatel nebude implementovat AMLR ani technické normy AMLA.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Falešně pozitivní shody:</w:t>
      </w:r>
      <w:r>
        <w:t xml:space="preserve"> </w:t>
      </w:r>
      <w:r>
        <w:t xml:space="preserve">cca 97 % alertů screeningu je falešných; Compliance tráví 60 % kapacity jejich zavíráním.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Dvojí zadávání:</w:t>
      </w:r>
      <w:r>
        <w:t xml:space="preserve"> </w:t>
      </w:r>
      <w:r>
        <w:t xml:space="preserve">obchodník vyplňuje KYC v CRM a část znovu v AML systému.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Zpoždění rozhodnutí:</w:t>
      </w:r>
      <w:r>
        <w:t xml:space="preserve"> </w:t>
      </w:r>
      <w:r>
        <w:t xml:space="preserve">blokace klienta se do CRM propisuje noční dávkou; obchodník může klientovi do druhého dne založit produkt.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Auditní nálezy 2025:</w:t>
      </w:r>
      <w:r>
        <w:t xml:space="preserve"> </w:t>
      </w:r>
      <w:r>
        <w:t xml:space="preserve">lokální účty mimo IAM, nemožnost zpětně doložit, proč měl klient daný rizikový profil.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Integrace:</w:t>
      </w:r>
      <w:r>
        <w:t xml:space="preserve"> </w:t>
      </w:r>
      <w:r>
        <w:t xml:space="preserve">point-to-point vazby bránící využití bankovní Kafka platformy.</w:t>
      </w:r>
    </w:p>
    <w:bookmarkEnd w:id="23"/>
    <w:bookmarkEnd w:id="24"/>
    <w:bookmarkStart w:id="25" w:name="cíle-a-měřítka-úspěchu"/>
    <w:p>
      <w:pPr>
        <w:pStyle w:val="Heading1"/>
      </w:pPr>
      <w:r>
        <w:t xml:space="preserve">3. Cíle a měřítka úspěchu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Cíl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Měřítko (KPI)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Cílová hodnota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Regulatorní soulad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Pokrytí požadavků AML zákona, vyhlášky ČNB 67/2018 a AMLR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Must požadavků REG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Efektivita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Míra falešně pozitivních shod screeningu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85 % do 6 měsíců po go-live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Rychlost rozhodnutí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Propsání rozhodnutí do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minuta (dnes až 24 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Uživatelský komfort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Údaje zadávané obchodníkem dvakrát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Kontinuita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Výpadek onboardingu při migraci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hodin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Náklady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TCO na 5 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rámci schváleného rozpočtu</w:t>
            </w:r>
          </w:p>
        </w:tc>
      </w:tr>
    </w:tbl>
    <w:bookmarkEnd w:id="25"/>
    <w:bookmarkStart w:id="26" w:name="rozsah"/>
    <w:p>
      <w:pPr>
        <w:pStyle w:val="Heading1"/>
      </w:pPr>
      <w:r>
        <w:t xml:space="preserve">4. Rozsah</w:t>
      </w:r>
    </w:p>
    <w:p>
      <w:pPr>
        <w:pStyle w:val="FirstParagraph"/>
      </w:pPr>
      <w:r>
        <w:rPr>
          <w:bCs/>
          <w:b/>
        </w:rPr>
        <w:t xml:space="preserve">V rozsahu:</w:t>
      </w:r>
      <w:r>
        <w:t xml:space="preserve"> </w:t>
      </w:r>
      <w:r>
        <w:t xml:space="preserve">KYC/CDD a rizikový profil klienta, screening (sankce, PEP, adverse media), monitoring transakcí, správa případů a rozhodování, reporting pro FAÚ a vedení, integrace (CRM, core, platby, DWH, DMS, SIEM, monitoring, IAM), datová migrace za 10 let, školení, dokumentace, podpora a provoz po dobu 5 let.</w:t>
      </w:r>
    </w:p>
    <w:p>
      <w:pPr>
        <w:pStyle w:val="BodyText"/>
      </w:pPr>
      <w:r>
        <w:rPr>
          <w:bCs/>
          <w:b/>
        </w:rPr>
        <w:t xml:space="preserve">Mimo rozsah:</w:t>
      </w:r>
      <w:r>
        <w:t xml:space="preserve"> </w:t>
      </w:r>
      <w:r>
        <w:t xml:space="preserve">výměna CRM, změny core bankingu nad rámec publikování událostí do Kafka, fraud management, reporting FATCA/CRS, vzdálený onboarding nových klientů (jen volitelně, viz KYC-007).</w:t>
      </w:r>
    </w:p>
    <w:bookmarkEnd w:id="26"/>
    <w:bookmarkStart w:id="27" w:name="stakeholdeři-a-odpovědnosti"/>
    <w:p>
      <w:pPr>
        <w:pStyle w:val="Heading1"/>
      </w:pPr>
      <w:r>
        <w:t xml:space="preserve">5. Stakeholdeři a odpovědnosti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Zástupci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Zájmy a odpovědnost v Matici shody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RACI ve výběru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Ředitelka Compliance (MLRO), AML analytici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Regulatorní soulad, kvalita detekce, případy, FAÚ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za požadavky KYC, SCR, TM, CAS, REP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architekt, CRM PO, integrace, bezpečnost, provoz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Architektura, integrace, NFR, bezpečnost, provoz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za INT, NFR, SEC, MIG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Právník IT smluv, 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GDPR, DORA, bankovní tajemství, smlouva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za LEG, REG-001, REG-003, REG-004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Obchod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Ředitel privátního bankovnictví, bankéři, zákaznická podpora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Práce v CRM, rychlost onboardingu, klientská zkušenost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C/A za požadavky na CRM a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Nákupčí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Férovost a transparentnost řízení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za proces výběru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Interní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Auditní stopa, nezávislost hodnocení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I, přizván jako pozorovatel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 / ICT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manažer, CISO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DORA, outsourcing, koncentrační riziko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C, posouzení rizik dodavatele</w:t>
            </w:r>
          </w:p>
        </w:tc>
      </w:tr>
    </w:tbl>
    <w:bookmarkEnd w:id="27"/>
    <w:bookmarkStart w:id="28" w:name="legislativní-a-regulatorní-rámec"/>
    <w:p>
      <w:pPr>
        <w:pStyle w:val="Heading1"/>
      </w:pPr>
      <w:r>
        <w:t xml:space="preserve">6. Legislativní a regulatorní rámec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Předpis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Dopad na zadání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Zákon č. 253/2008 Sb. (AML zákon)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Kontrola klienta (§ 9), zesílená kontrola (§ 9a), uchovávání 10 let (§ 16), oznámení podezřelého obchodu (§ 18), odklad splnění příkazu (§ 20), systém vnitřních zásad a hodnocení rizik (§ 21, § 21a)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Vyhláška ČNB č. 67/2018 Sb.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Požadavky na systém vnitřních zásad, hodnocení rizik a kontrolu klienta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Nařízení (EU) 2024/1624 (AMLR), 2024/1620 (AMLA), směrnice (EU) 2024/1640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Jednotná pravidla od 10. 7. 2027 – řešení musí být připraveno a legislativní údržba musí být v ceně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Zákon č. 69/2006 Sb. a zákon č. 1/2023 Sb.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Mezinárodní sankce a národní sankční seznam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Nařízení (EU) 2024/886 (instantní platby)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Ověřování klientů vůči sankčním seznamům EU nejméně denně a ihned po nové designaci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Nařízení (EU) 2023/1113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Informace o plátci a příjemci u převodů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Zákon č. 37/2021 Sb.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skutečných majitelů, hlášení nesrovnalostí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Nařízení (EU) 2022/2554 (DORA) a navazující 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Řízení rizik ICT třetích stran, smluvní ujednání (čl. 30), registr informací, exit strategie, testování odolnosti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Pokyny EBA k outsourcingu (EBA/GL/2019/02), vyhláška ČNB č. 163/2014 Sb.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Posouzení outsourcingu, právo auditu, informování ČNB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 a zákon č. 110/2019 Sb.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Zpracovatelská smlouva, DPIA, automatizované rozhodování (čl. 22), lokalizace 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Zákon č. 21/1992 Sb., o bankách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Bankovní tajemství (§ 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Nařízení (EU) 2024/1689 (AI 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Transparentnost a dokumentace ML modelů, pokud je dodavatel použije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Režim zadávání:</w:t>
      </w:r>
      <w:r>
        <w:t xml:space="preserve"> </w:t>
      </w:r>
      <w:r>
        <w:t xml:space="preserve">Banka není veřejným zadavatelem, zákon č. 134/2016 Sb. se nepoužije. Řízení probíhá podle interní nákupní směrnice Banky jako uzavřené poptávkové řízení s výzvou vybraným dodavatelům.</w:t>
      </w:r>
    </w:p>
    <w:p>
      <w:pPr>
        <w:pStyle w:val="BodyText"/>
      </w:pPr>
      <w:r>
        <w:rPr>
          <w:bCs/>
          <w:b/>
        </w:rPr>
        <w:t xml:space="preserve">DORA:</w:t>
      </w:r>
      <w:r>
        <w:t xml:space="preserve"> </w:t>
      </w:r>
      <w:r>
        <w:t xml:space="preserve">AML řešení podporuje kritickou nebo důležitou funkci. Banka proto před podpisem provede posouzení rizik ICT třetí strany a koncentračního rizika, zapíše ujednání do registru informací a v souladu s čl. 28 odst. 3 DORA včas informuje ČNB o plánovaném smluvním ujednání.</w:t>
      </w:r>
    </w:p>
    <w:bookmarkEnd w:id="28"/>
    <w:bookmarkStart w:id="29" w:name="X5c80e5928d5280c4669650f22fb7efa1f3a0062"/>
    <w:p>
      <w:pPr>
        <w:pStyle w:val="Heading1"/>
      </w:pPr>
      <w:r>
        <w:t xml:space="preserve">7. Postup analýzy (pohled seniorního business/IT analytika)</w:t>
      </w:r>
    </w:p>
    <w:p>
      <w:pPr>
        <w:pStyle w:val="FirstParagraph"/>
      </w:pPr>
      <w:r>
        <w:t xml:space="preserve">Výměna AML poskytovatele napojeného na CRM má dopad na tři skupiny uživatelů, které s AML funkcemi pracují přes CRM. Analýza proto vychází z procesů, ne ze systémů.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Discovery výchozího stavu (2 týdny).</w:t>
      </w:r>
      <w:r>
        <w:t xml:space="preserve"> </w:t>
      </w:r>
      <w:r>
        <w:t xml:space="preserve">Zmapování procesů onboardingu, periodické a událostní revize, screeningu a rozhodování (BPMN as-is), inventura rozhraní CRM ↔ AML včetně datových toků a polí, analýza objemů a kvality dat pro migraci, sběr incidentů a auditních nálezů.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Workshopy se stakeholdery (2 týdny).</w:t>
      </w:r>
      <w:r>
        <w:t xml:space="preserve"> </w:t>
      </w:r>
      <w:r>
        <w:t xml:space="preserve">Samostatně s Compliance, Obchodem, IT a Legal; každý požadavek zapsán rovnou do Matice shody s vlastníkem a akceptačním kritériem. Záznamy na listu Workshopy.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Konsolidace a konflikty.</w:t>
      </w:r>
      <w:r>
        <w:t xml:space="preserve"> </w:t>
      </w:r>
      <w:r>
        <w:t xml:space="preserve">Konflikty (např. automatické schvalování vs. princip čtyř očí) se rozhodují na konsolidačním workshopu a SteerCo, ne jednotlivě s dodavateli.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Dopadová analýza na CRM.</w:t>
      </w:r>
      <w:r>
        <w:t xml:space="preserve"> </w:t>
      </w:r>
      <w:r>
        <w:t xml:space="preserve">Pro každý proces to-be: co uvidí a udělá obchodník, podpora a Compliance v CRM; která pole a stavy klienta se mění; které integrace přecházejí z dávky na události (Kafka).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Gap analýza nabídek.</w:t>
      </w:r>
      <w:r>
        <w:t xml:space="preserve"> </w:t>
      </w:r>
      <w:r>
        <w:t xml:space="preserve">Odpovědi dodavatelů v Matici shody → počet Custom vývojů a jejich dopad na CRM a TCO; ověření ve skriptovaném demu.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Migrační strategie.</w:t>
      </w:r>
      <w:r>
        <w:t xml:space="preserve"> </w:t>
      </w:r>
      <w:r>
        <w:t xml:space="preserve">Datové mapování, zkušební migrace, paralelní provoz min. 4 týdny, rekonciliace a rollback plán.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Přechod a změnové řízení.</w:t>
      </w:r>
      <w:r>
        <w:t xml:space="preserve"> </w:t>
      </w:r>
      <w:r>
        <w:t xml:space="preserve">Školení, aktualizace vnitřních předpisů (systém vnitřních zásad), komunikace na obchod.</w:t>
      </w:r>
    </w:p>
    <w:bookmarkEnd w:id="29"/>
    <w:bookmarkStart w:id="30" w:name="klíčové-principy-řešení-to-be"/>
    <w:p>
      <w:pPr>
        <w:pStyle w:val="Heading1"/>
      </w:pPr>
      <w:r>
        <w:t xml:space="preserve">8. Klíčové principy řešení (to-be)</w:t>
      </w:r>
    </w:p>
    <w:p>
      <w:pPr>
        <w:numPr>
          <w:ilvl w:val="0"/>
          <w:numId w:val="1003"/>
        </w:numPr>
        <w:pStyle w:val="Compact"/>
      </w:pPr>
      <w:r>
        <w:t xml:space="preserve">AML řešení je</w:t>
      </w:r>
      <w:r>
        <w:t xml:space="preserve"> </w:t>
      </w:r>
      <w:r>
        <w:rPr>
          <w:bCs/>
          <w:b/>
        </w:rPr>
        <w:t xml:space="preserve">systém záznamu pro rizikový profil, screening a případy</w:t>
      </w:r>
      <w:r>
        <w:t xml:space="preserve">; CRM je systém záznamu pro klienta a obchodní vztah.</w:t>
      </w:r>
    </w:p>
    <w:p>
      <w:pPr>
        <w:numPr>
          <w:ilvl w:val="0"/>
          <w:numId w:val="1003"/>
        </w:numPr>
        <w:pStyle w:val="Compact"/>
      </w:pPr>
      <w:r>
        <w:t xml:space="preserve">Změny klienta jdou z CRM a core do AML</w:t>
      </w:r>
      <w:r>
        <w:t xml:space="preserve"> </w:t>
      </w:r>
      <w:r>
        <w:rPr>
          <w:bCs/>
          <w:b/>
        </w:rPr>
        <w:t xml:space="preserve">událostmi přes Kafka</w:t>
      </w:r>
      <w:r>
        <w:t xml:space="preserve">; rozhodnutí jdou z AML do CRM událostí a API do 1 minuty.</w:t>
      </w:r>
    </w:p>
    <w:p>
      <w:pPr>
        <w:numPr>
          <w:ilvl w:val="0"/>
          <w:numId w:val="1003"/>
        </w:numPr>
        <w:pStyle w:val="Compact"/>
      </w:pPr>
      <w:r>
        <w:t xml:space="preserve">Obchodník pracuje</w:t>
      </w:r>
      <w:r>
        <w:t xml:space="preserve"> </w:t>
      </w:r>
      <w:r>
        <w:rPr>
          <w:bCs/>
          <w:b/>
        </w:rPr>
        <w:t xml:space="preserve">výhradně v CRM</w:t>
      </w:r>
      <w:r>
        <w:t xml:space="preserve"> </w:t>
      </w:r>
      <w:r>
        <w:t xml:space="preserve">(embedded komponenta nebo API), Compliance pracuje v AML řešení.</w:t>
      </w:r>
    </w:p>
    <w:p>
      <w:pPr>
        <w:numPr>
          <w:ilvl w:val="0"/>
          <w:numId w:val="1003"/>
        </w:numPr>
        <w:pStyle w:val="Compact"/>
      </w:pPr>
      <w:r>
        <w:t xml:space="preserve">Negativní rozhodnutí o klientovi vždy</w:t>
      </w:r>
      <w:r>
        <w:t xml:space="preserve"> </w:t>
      </w:r>
      <w:r>
        <w:rPr>
          <w:bCs/>
          <w:b/>
        </w:rPr>
        <w:t xml:space="preserve">potvrzuje člověk</w:t>
      </w:r>
      <w:r>
        <w:t xml:space="preserve"> </w:t>
      </w:r>
      <w:r>
        <w:t xml:space="preserve">(čl. 22 GDPR), na principu čtyř očí.</w:t>
      </w:r>
    </w:p>
    <w:p>
      <w:pPr>
        <w:numPr>
          <w:ilvl w:val="0"/>
          <w:numId w:val="1003"/>
        </w:numPr>
        <w:pStyle w:val="Compact"/>
      </w:pPr>
      <w:r>
        <w:t xml:space="preserve">Data</w:t>
      </w:r>
      <w:r>
        <w:t xml:space="preserve"> </w:t>
      </w:r>
      <w:r>
        <w:rPr>
          <w:bCs/>
          <w:b/>
        </w:rPr>
        <w:t xml:space="preserve">pouze v EU/EHP</w:t>
      </w:r>
      <w:r>
        <w:t xml:space="preserve">, provoz on-premise nebo v privátním cloudu (K.O.).</w:t>
      </w:r>
    </w:p>
    <w:bookmarkEnd w:id="30"/>
    <w:bookmarkStart w:id="31" w:name="výběrové-řízení-přehled"/>
    <w:p>
      <w:pPr>
        <w:pStyle w:val="Heading1"/>
      </w:pPr>
      <w:r>
        <w:t xml:space="preserve">9. Výběrové řízení – přehled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Dokument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Soubor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Šablona Matice shody pro sběr požadavků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02_Matice_shody_SABLONA.xlsx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Vyplněná Matice shody v. 1.0 (95 požadavků, 8 K.O.)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03_Matice_shody_VYPLNENA.xlsx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Zadávací dokumentace (RFP)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04_Zadavaci_dokumentace_RFP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Příloha 1 – Matice shody pro dodavatele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05_Priloha1_Matice_shody_pro_dodavatele.xlsx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Příloha 2 – Závazná osnova Feasibility Study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06_Priloha2_Osnova_Feasibility_Study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Příloha 3 – Cenová šablona TCO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07_Priloha3_Cenova_sablona_TCO.xlsx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Příloha 4 – Požadavky na SLA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08_Priloha4_SLA_pozadavky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Příloha 5 – Klíčové smluvní požadavky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09_Priloha5_Smluvni_pozadavky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Hodnoticí metodika (interní)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10_Hodnotici_metodika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Hodnoticí model a hodnoticí 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11_Hodnotici_model_a_arch.xlsx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Q&amp;A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12_QA_log.xlsx</w:t>
            </w:r>
          </w:p>
        </w:tc>
      </w:tr>
    </w:tbl>
    <w:p>
      <w:pPr>
        <w:pStyle w:val="BodyText"/>
      </w:pPr>
      <w:r>
        <w:rPr>
          <w:bCs/>
          <w:b/>
        </w:rPr>
        <w:t xml:space="preserve">Váhový model</w:t>
      </w:r>
      <w:r>
        <w:t xml:space="preserve"> </w:t>
      </w:r>
      <w:r>
        <w:t xml:space="preserve">(schválen SteerCo před vyhlášením): cena (TCO 5 let) 40 %, byznys funkcionality 30 %, architektura a bezpečnost 20 %, delivery a zkušenosti 10 %; K.O. kritéria Pass/Fail.</w:t>
      </w:r>
    </w:p>
    <w:bookmarkEnd w:id="31"/>
    <w:bookmarkStart w:id="32" w:name="harmonogram"/>
    <w:p>
      <w:pPr>
        <w:pStyle w:val="Heading1"/>
      </w:pPr>
      <w:r>
        <w:t xml:space="preserve">10. Harmonogram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Milník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Termín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Schválení zadávací dokumentace a hodnoticího modelu SteerCo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21. 10. 2026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Odeslání výzvy 5 vybraným dodavatelům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2. 11. 2026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Termín pro dotazy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20. 11. 2026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Podání nabídek (Matice, FS, TCO)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11. 12. 2026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Skriptovaná dema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12.–15. 1.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5. 2. 2027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Doporučení komise / rozhodnutí představenstva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 2. / 26. 2.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Informování ČNB (čl. 28 odst. 3 DORA), podpis smlouvy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Implementace, migrace, paralelní provoz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4/2027 – 3/2028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31. 3. 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Konec podpory současného systému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30. 6. 2028</w:t>
            </w:r>
          </w:p>
        </w:tc>
      </w:tr>
    </w:tbl>
    <w:bookmarkEnd w:id="32"/>
    <w:bookmarkStart w:id="33" w:name="rozpočet"/>
    <w:p>
      <w:pPr>
        <w:pStyle w:val="Heading1"/>
      </w:pPr>
      <w:r>
        <w:t xml:space="preserve">11. Rozpočet</w:t>
      </w:r>
    </w:p>
    <w:p>
      <w:pPr>
        <w:pStyle w:val="FirstParagraph"/>
      </w:pPr>
      <w:r>
        <w:t xml:space="preserve">Indikativní rozpočet TCO na 5 let:</w:t>
      </w:r>
      <w:r>
        <w:t xml:space="preserve"> </w:t>
      </w:r>
      <w:r>
        <w:rPr>
          <w:bCs/>
          <w:b/>
        </w:rPr>
        <w:t xml:space="preserve">45–60 mil. Kč bez DPH</w:t>
      </w:r>
      <w:r>
        <w:t xml:space="preserve"> </w:t>
      </w:r>
      <w:r>
        <w:t xml:space="preserve">(licence, implementace, migrace, podpora, datové zdroje, exit). Interní náklady Banky (cca 1 900 MD) jsou kryty kapacitami útvarů IT, Compliance a Obchodu.</w:t>
      </w:r>
    </w:p>
    <w:bookmarkEnd w:id="33"/>
    <w:bookmarkStart w:id="34" w:name="rizika"/>
    <w:p>
      <w:pPr>
        <w:pStyle w:val="Heading1"/>
      </w:pPr>
      <w:r>
        <w:t xml:space="preserve">12. Rizika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Riziko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Dopad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Opatření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AMLR je použitelné dříve (10. 7. 2027) než 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Regulatorní mezera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Dočasná opatření v současném systému a procesech; legislativní údržba v ceně nového řešení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Kvalita historických 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Zpoždění migrace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Profilace dat v discovery, čištění dat Bankou, zkušební migrace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Rozsáhlý custom vývoj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Technický dluh, TCO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Bodování 1 b. za Custom, pravidlo křížové kontroly, ocenění v TCO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lock-in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Drahý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Exitové požadavky (LEG-006), ocenění exitu v TCO, escrow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Kapacita obchodu na 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Zpoždění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Plánování UAT mimo období uzávěrek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Koncentrační riziko ICT (DORA)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Dohledový nález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Posouzení rizik dodavatele, exit plán, registr informací</w:t>
            </w:r>
          </w:p>
        </w:tc>
      </w:tr>
    </w:tbl>
    <w:bookmarkEnd w:id="34"/>
    <w:bookmarkStart w:id="35" w:name="schválení"/>
    <w:p>
      <w:pPr>
        <w:pStyle w:val="Heading1"/>
      </w:pPr>
      <w:r>
        <w:t xml:space="preserve">13. Schválení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Jméno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Podpis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Sponzor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Karel Procházka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Ředitelka Compliance (MLRO)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JUDr. Lucie Malá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Ředitel privátního bankovnictví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Jana Novotná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sectPr>
      <w:head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Horizont Privátní banka, a.s. · Projekt SENTINEL · FIKTIVNÍ CVIČNÝ DOKUMENT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eastAsia="Calibri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Calibri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eastAsia="Calibri"/>
      <w:b/>
    </w:rPr>
  </w:style>
  <w:style w:customStyle="1" w:styleId="Definition" w:type="paragraph">
    <w:name w:val="Definition"/>
    <w:basedOn w:val="Normal"/>
    <w:rPr>
      <w:rFonts w:ascii="Calibri" w:hAnsi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eastAsia="Calibri"/>
    </w:rPr>
  </w:style>
  <w:style w:customStyle="1" w:styleId="ImageCaption" w:type="paragraph">
    <w:name w:val="Image Caption"/>
    <w:basedOn w:val="Caption"/>
    <w:rPr>
      <w:rFonts w:ascii="Calibri" w:hAnsi="Calibri" w:eastAsia="Calibri"/>
    </w:rPr>
  </w:style>
  <w:style w:customStyle="1" w:styleId="Figure" w:type="paragraph">
    <w:name w:val="Figure"/>
    <w:basedOn w:val="Normal"/>
    <w:rPr>
      <w:rFonts w:ascii="Calibri" w:hAnsi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Interní zadání projektu SENTINEL – výměna KYC/AML řešení</dc:title>
  <dc:creator/>
  <cp:keywords/>
  <dcterms:created xsi:type="dcterms:W3CDTF">2026-10-06T09:48:55Z</dcterms:created>
  <dcterms:modified xsi:type="dcterms:W3CDTF">2026-10-06T09:48:55Z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23. 9. 2026</vt:lpwstr>
  </property>
  <property fmtid="{D5CDD505-2E9C-101B-9397-08002B2CF9AE}" pid="3" name="subtitle">
    <vt:lpwstr>Horizont Privátní banka, a.s. · Interní · verze 1.0</vt:lpwstr>
  </property>
</Properties>
</file>