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Zadávací</w:t>
      </w:r>
      <w:r>
        <w:t xml:space="preserve"> </w:t>
      </w:r>
      <w:r>
        <w:t xml:space="preserve">dokumentace</w:t>
      </w:r>
      <w:r>
        <w:t xml:space="preserve"> </w:t>
      </w:r>
      <w:r>
        <w:t xml:space="preserve">–</w:t>
      </w:r>
      <w:r>
        <w:t xml:space="preserve"> </w:t>
      </w:r>
      <w:r>
        <w:t xml:space="preserve">výzva</w:t>
      </w:r>
      <w:r>
        <w:t xml:space="preserve"> </w:t>
      </w:r>
      <w:r>
        <w:t xml:space="preserve">k</w:t>
      </w:r>
      <w:r>
        <w:t xml:space="preserve"> </w:t>
      </w:r>
      <w:r>
        <w:t xml:space="preserve">podání</w:t>
      </w:r>
      <w:r>
        <w:t xml:space="preserve"> </w:t>
      </w:r>
      <w:r>
        <w:t xml:space="preserve">nabídky</w:t>
      </w:r>
      <w:r>
        <w:t xml:space="preserve"> </w:t>
      </w:r>
      <w:r>
        <w:t xml:space="preserve">(RFP)</w:t>
      </w:r>
    </w:p>
    <w:p>
      <w:pPr>
        <w:pStyle w:val="Subtitle"/>
      </w:pPr>
      <w:r>
        <w:t xml:space="preserve">Dodávka,</w:t>
      </w:r>
      <w:r>
        <w:t xml:space="preserve"> </w:t>
      </w:r>
      <w:r>
        <w:t xml:space="preserve">implementace</w:t>
      </w:r>
      <w:r>
        <w:t xml:space="preserve"> </w:t>
      </w:r>
      <w:r>
        <w:t xml:space="preserve">a</w:t>
      </w:r>
      <w:r>
        <w:t xml:space="preserve"> </w:t>
      </w:r>
      <w:r>
        <w:t xml:space="preserve">podpora</w:t>
      </w:r>
      <w:r>
        <w:t xml:space="preserve"> </w:t>
      </w:r>
      <w:r>
        <w:t xml:space="preserve">KYC/AML</w:t>
      </w:r>
      <w:r>
        <w:t xml:space="preserve"> </w:t>
      </w:r>
      <w:r>
        <w:t xml:space="preserve">řešení</w:t>
      </w:r>
      <w:r>
        <w:t xml:space="preserve"> </w:t>
      </w:r>
      <w:r>
        <w:t xml:space="preserve">·</w:t>
      </w:r>
      <w:r>
        <w:t xml:space="preserve"> </w:t>
      </w:r>
      <w:r>
        <w:t xml:space="preserve">Projekt</w:t>
      </w:r>
      <w:r>
        <w:t xml:space="preserve"> </w:t>
      </w:r>
      <w:r>
        <w:t xml:space="preserve">SENTINEL</w:t>
      </w:r>
      <w:r>
        <w:t xml:space="preserve"> </w:t>
      </w:r>
      <w:r>
        <w:t xml:space="preserve">·</w:t>
      </w:r>
      <w:r>
        <w:t xml:space="preserve"> </w:t>
      </w:r>
      <w:r>
        <w:t xml:space="preserve">č.</w:t>
      </w:r>
      <w:r>
        <w:t xml:space="preserve"> </w:t>
      </w:r>
      <w:r>
        <w:t xml:space="preserve">j.</w:t>
      </w:r>
      <w:r>
        <w:t xml:space="preserve"> </w:t>
      </w:r>
      <w:r>
        <w:t xml:space="preserve">HPB-NAK-2026-041</w:t>
      </w:r>
    </w:p>
    <w:p>
      <w:pPr>
        <w:pStyle w:val="Date"/>
      </w:pPr>
      <w:r>
        <w:t xml:space="preserve">2.</w:t>
      </w:r>
      <w:r>
        <w:t xml:space="preserve"> </w:t>
      </w:r>
      <w:r>
        <w:t xml:space="preserve">11.</w:t>
      </w:r>
      <w:r>
        <w:t xml:space="preserve"> </w:t>
      </w:r>
      <w:r>
        <w:t xml:space="preserve">2026</w:t>
      </w:r>
    </w:p>
    <w:p>
      <w:pPr>
        <w:pStyle w:val="BlockText"/>
      </w:pPr>
      <w:r>
        <w:rPr>
          <w:bCs/>
          <w:b/>
        </w:rPr>
        <w:t xml:space="preserve">Fiktivní cvičný dokument.</w:t>
      </w:r>
      <w:r>
        <w:t xml:space="preserve"> </w:t>
      </w:r>
      <w:r>
        <w:t xml:space="preserve">Horizont Privátní banka, a.s., osoby i údaje jsou smyšlené.</w:t>
      </w:r>
    </w:p>
    <w:bookmarkStart w:id="20" w:name="úvod-a-účel"/>
    <w:p>
      <w:pPr>
        <w:pStyle w:val="Heading1"/>
      </w:pPr>
      <w:r>
        <w:t xml:space="preserve">1. Úvod a účel</w:t>
      </w:r>
    </w:p>
    <w:p>
      <w:pPr>
        <w:pStyle w:val="FirstParagraph"/>
      </w:pPr>
      <w:r>
        <w:t xml:space="preserve">Horizont Privátní banka, a.s. (dále „Banka“) vás zve k podání nabídky na dodávku, implementaci a podporu řešení pro kontrolu klientů a prevenci legalizace výnosů z trestné činnosti a financování terorismu (KYC/AML/CFT).</w:t>
      </w:r>
    </w:p>
    <w:p>
      <w:pPr>
        <w:pStyle w:val="BodyText"/>
      </w:pPr>
      <w:r>
        <w:t xml:space="preserve">Toto výběrové řízení je</w:t>
      </w:r>
      <w:r>
        <w:t xml:space="preserve"> </w:t>
      </w:r>
      <w:r>
        <w:rPr>
          <w:bCs/>
          <w:b/>
        </w:rPr>
        <w:t xml:space="preserve">uzavřené poptávkové řízení soukromého zadavatele</w:t>
      </w:r>
      <w:r>
        <w:t xml:space="preserve"> </w:t>
      </w:r>
      <w:r>
        <w:t xml:space="preserve">podle interní nákupní směrnice Banky. Nejde o zadávací řízení podle zákona č. 134/2016 Sb., o zadávání veřejných zakázek. Banka si vyhrazuje právo řízení kdykoli zrušit, změnit podmínky (vždy pro všechny uchazeče stejně) nebo neuzavřít smlouvu s žádným uchazečem.</w:t>
      </w:r>
    </w:p>
    <w:p>
      <w:pPr>
        <w:pStyle w:val="BodyText"/>
      </w:pPr>
      <w:r>
        <w:t xml:space="preserve">Dokumentace je důvěrná a smí být použita pouze pro přípravu nabídky. Přílohy 1–5 a technické dokumenty D-01 až D-06 obdrží uchazeč po podpisu dohody o mlčenlivosti (NDA).</w:t>
      </w:r>
    </w:p>
    <w:bookmarkEnd w:id="20"/>
    <w:bookmarkStart w:id="21" w:name="zadavatel-a-kontaktní-osoba"/>
    <w:p>
      <w:pPr>
        <w:pStyle w:val="Heading1"/>
      </w:pPr>
      <w:r>
        <w:t xml:space="preserve">2. Zadavatel a kontaktní osoba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Zadavatel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Horizont Privátní banka, a.s., Na Příkopě 999/99, 110 00 Praha 1 (fiktivní)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IČO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 99 999 (fiktivní)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Kontaktní osoba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Pavel Černý, Procurement, tendr.sentinel@horizont-pb.example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Jediný komunikační kanál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 kontaktní osoby. Kontakt jiných zaměstnanců Banky ve věci řízení může vést k vyloučení.</w:t>
            </w:r>
          </w:p>
        </w:tc>
      </w:tr>
    </w:tbl>
    <w:bookmarkEnd w:id="21"/>
    <w:bookmarkStart w:id="22" w:name="předmět-plnění"/>
    <w:p>
      <w:pPr>
        <w:pStyle w:val="Heading1"/>
      </w:pPr>
      <w:r>
        <w:t xml:space="preserve">3. Předmět plnění</w:t>
      </w:r>
    </w:p>
    <w:p>
      <w:pPr>
        <w:pStyle w:val="FirstParagraph"/>
      </w:pPr>
      <w:r>
        <w:t xml:space="preserve">Předmětem je dodávka standardního softwarového řešení, jeho implementace, integrace, migrace dat a podpora po dobu 5 let, v rozsahu:</w:t>
      </w:r>
    </w:p>
    <w:p>
      <w:pPr>
        <w:numPr>
          <w:ilvl w:val="0"/>
          <w:numId w:val="1001"/>
        </w:numPr>
        <w:pStyle w:val="Compact"/>
      </w:pPr>
      <w:r>
        <w:t xml:space="preserve">KYC/CDD – rizikový profil klienta, zesílená kontrola, skuteční majitelé, periodické a událostní revize;</w:t>
      </w:r>
    </w:p>
    <w:p>
      <w:pPr>
        <w:numPr>
          <w:ilvl w:val="0"/>
          <w:numId w:val="1001"/>
        </w:numPr>
        <w:pStyle w:val="Compact"/>
      </w:pPr>
      <w:r>
        <w:t xml:space="preserve">screening – sankční seznamy (EU, OSN, ČR, volitelně OFAC a UK HMT), PEP, adverse media; klienti i platby;</w:t>
      </w:r>
    </w:p>
    <w:p>
      <w:pPr>
        <w:numPr>
          <w:ilvl w:val="0"/>
          <w:numId w:val="1001"/>
        </w:numPr>
        <w:pStyle w:val="Compact"/>
      </w:pPr>
      <w:r>
        <w:t xml:space="preserve">monitoring transakcí – konfigurovatelné scénáře, profil klienta, odklad splnění příkazu;</w:t>
      </w:r>
    </w:p>
    <w:p>
      <w:pPr>
        <w:numPr>
          <w:ilvl w:val="0"/>
          <w:numId w:val="1001"/>
        </w:numPr>
        <w:pStyle w:val="Compact"/>
      </w:pPr>
      <w:r>
        <w:t xml:space="preserve">správa případů a rozhodování – princip čtyř očí, propsání rozhodnutí do CRM;</w:t>
      </w:r>
    </w:p>
    <w:p>
      <w:pPr>
        <w:numPr>
          <w:ilvl w:val="0"/>
          <w:numId w:val="1001"/>
        </w:numPr>
        <w:pStyle w:val="Compact"/>
      </w:pPr>
      <w:r>
        <w:t xml:space="preserve">reporting – oznámení podezřelého obchodu pro FAÚ, manažerský a regulatorní reporting;</w:t>
      </w:r>
    </w:p>
    <w:p>
      <w:pPr>
        <w:numPr>
          <w:ilvl w:val="0"/>
          <w:numId w:val="1001"/>
        </w:numPr>
        <w:pStyle w:val="Compact"/>
      </w:pPr>
      <w:r>
        <w:t xml:space="preserve">integrace na CRM, core banking (Kafka), platební systém, DWH, DMS, ESB, SIEM, monitoring a IAM;</w:t>
      </w:r>
    </w:p>
    <w:p>
      <w:pPr>
        <w:numPr>
          <w:ilvl w:val="0"/>
          <w:numId w:val="1001"/>
        </w:numPr>
        <w:pStyle w:val="Compact"/>
      </w:pPr>
      <w:r>
        <w:t xml:space="preserve">migrace dat ze současného systému za 10 let a paralelní provoz;</w:t>
      </w:r>
    </w:p>
    <w:p>
      <w:pPr>
        <w:numPr>
          <w:ilvl w:val="0"/>
          <w:numId w:val="1001"/>
        </w:numPr>
        <w:pStyle w:val="Compact"/>
      </w:pPr>
      <w:r>
        <w:t xml:space="preserve">školení, dokumentace v češtině a angličtině, podpora a údržba včetně legislativní údržby.</w:t>
      </w:r>
    </w:p>
    <w:p>
      <w:pPr>
        <w:pStyle w:val="FirstParagraph"/>
      </w:pPr>
      <w:r>
        <w:t xml:space="preserve">Podrobné požadavky jsou v</w:t>
      </w:r>
      <w:r>
        <w:t xml:space="preserve"> </w:t>
      </w:r>
      <w:r>
        <w:rPr>
          <w:bCs/>
          <w:b/>
        </w:rPr>
        <w:t xml:space="preserve">Příloze 1 – Matice shody</w:t>
      </w:r>
      <w:r>
        <w:t xml:space="preserve"> </w:t>
      </w:r>
      <w:r>
        <w:t xml:space="preserve">(95 požadavků, z toho 8 K.O.).</w:t>
      </w:r>
    </w:p>
    <w:bookmarkEnd w:id="22"/>
    <w:bookmarkStart w:id="23" w:name="výchozí-stav-souhrn"/>
    <w:p>
      <w:pPr>
        <w:pStyle w:val="Heading1"/>
      </w:pPr>
      <w:r>
        <w:t xml:space="preserve">4. Výchozí stav (souhrn)</w:t>
      </w:r>
    </w:p>
    <w:p>
      <w:pPr>
        <w:numPr>
          <w:ilvl w:val="0"/>
          <w:numId w:val="1002"/>
        </w:numPr>
        <w:pStyle w:val="Compact"/>
      </w:pPr>
      <w:r>
        <w:t xml:space="preserve">Banka v privátním bankovnictví a správě majetku, 9 500 aktivních klientů, 38 000 prověřovaných subjektů, 24 % nerezidentů.</w:t>
      </w:r>
    </w:p>
    <w:p>
      <w:pPr>
        <w:numPr>
          <w:ilvl w:val="0"/>
          <w:numId w:val="1002"/>
        </w:numPr>
        <w:pStyle w:val="Compact"/>
      </w:pPr>
      <w:r>
        <w:t xml:space="preserve">1,4 mil. transakcí ročně, 220 tis. zahraničních plateb, 150 pojmenovaných a 60 souběžných uživatelů.</w:t>
      </w:r>
    </w:p>
    <w:p>
      <w:pPr>
        <w:numPr>
          <w:ilvl w:val="0"/>
          <w:numId w:val="1002"/>
        </w:numPr>
        <w:pStyle w:val="Compact"/>
      </w:pPr>
      <w:r>
        <w:t xml:space="preserve">CRM je core aplikace pro obchod, zákaznickou podporu i Compliance; obchodník musí stav KYC a rozhodnutí vidět v CRM.</w:t>
      </w:r>
    </w:p>
    <w:p>
      <w:pPr>
        <w:numPr>
          <w:ilvl w:val="0"/>
          <w:numId w:val="1002"/>
        </w:numPr>
        <w:pStyle w:val="Compact"/>
      </w:pPr>
      <w:r>
        <w:t xml:space="preserve">Integrační standard: Apache Kafka (Avro, schema registry, mTLS) a ESB pro legacy systémy; point-to-point integrace na core banking nebude akceptována.</w:t>
      </w:r>
    </w:p>
    <w:p>
      <w:pPr>
        <w:numPr>
          <w:ilvl w:val="0"/>
          <w:numId w:val="1002"/>
        </w:numPr>
        <w:pStyle w:val="Compact"/>
      </w:pPr>
      <w:r>
        <w:t xml:space="preserve">Provoz on-premise ve dvou datových centrech Banky v ČR, nebo dedikovaná instance v privátním cloudu s daty v EU/EHP.</w:t>
      </w:r>
    </w:p>
    <w:p>
      <w:pPr>
        <w:numPr>
          <w:ilvl w:val="0"/>
          <w:numId w:val="1002"/>
        </w:numPr>
        <w:pStyle w:val="Compact"/>
      </w:pPr>
      <w:r>
        <w:t xml:space="preserve">Detail: dokumenty D-01 (architektura), D-04 (Kafka topicy), D-05 (rozhraní CRM), D-06 (datový model současného systému).</w:t>
      </w:r>
    </w:p>
    <w:bookmarkEnd w:id="23"/>
    <w:bookmarkStart w:id="24" w:name="harmonogram"/>
    <w:p>
      <w:pPr>
        <w:pStyle w:val="Heading1"/>
      </w:pPr>
      <w:r>
        <w:t xml:space="preserve">5. Harmonogram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Krok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Termín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Odeslání výzvy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2. 11. 2026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Potvrzení účasti a podpis 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6. 11.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Termín pro písemné dotazy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 11. 2026, 12:00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Poslední zveřejnění Q&amp;A logu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27. 11. 2026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Podání nabídek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11. 12. 2026, 12:00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Formální kontrola, K.O. brána, hodnocení Matice a 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 12. 2026 – 8. 1.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Prezentace a skriptované demo (4 hodiny na uchazeče)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12.–15. 1.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Výzva k BAFO (max. 2 uchazeči)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22. 1. 2027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Podání BAFO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5. 2. 2027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Oznámení výsledku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5. 3.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Jednání o smlouvě, plánovaný podpis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Požadovaný go-live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nejpozději 31. 3. 2028</w:t>
            </w:r>
          </w:p>
        </w:tc>
      </w:tr>
    </w:tbl>
    <w:bookmarkEnd w:id="24"/>
    <w:bookmarkStart w:id="25" w:name="podmínky-účasti-k.o."/>
    <w:p>
      <w:pPr>
        <w:pStyle w:val="Heading1"/>
      </w:pPr>
      <w:r>
        <w:t xml:space="preserve">6. Podmínky účasti (K.O.)</w:t>
      </w:r>
    </w:p>
    <w:p>
      <w:pPr>
        <w:pStyle w:val="FirstParagraph"/>
      </w:pPr>
      <w:r>
        <w:t xml:space="preserve">Do bodového hodnocení postupuje pouze nabídka, která splní</w:t>
      </w:r>
      <w:r>
        <w:t xml:space="preserve"> </w:t>
      </w:r>
      <w:r>
        <w:rPr>
          <w:bCs/>
          <w:b/>
        </w:rPr>
        <w:t xml:space="preserve">všechna</w:t>
      </w:r>
      <w:r>
        <w:t xml:space="preserve"> </w:t>
      </w:r>
      <w:r>
        <w:t xml:space="preserve">následující kritéria. Hodnotí se Pass/Fail.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Kritérium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Doklad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Nabídka podána včas a ve struktuře dle kap.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Podepsaná NDA a čestné prohlášení (bezúhonnost, sankce, střet zájmů)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Příloha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Kompletní cenová šablona, všechna potvrzení „Ano“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Příloha 3, list Souhrn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 proti sankčním seznamům EU, OSN, ČR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Matice,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Obousměrná integrace s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Matice, FS kap. 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Provoz on-premise nebo privátní cloud, data a zálohy výhradně v EU/EHP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 kap.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 přes SAML 2.0 / OIDC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 kap. 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ISO/IEC 27001 nebo SOC 2 Type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Certifikát / zpráva ne starší 12 měsíců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Akceptace smluvních ujednání dle čl. 30 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Příloha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Zpracování osobních údajů jen v EU/EHP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Seznam míst zpracování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Zpracovatelská smlouva dle čl. 28 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Příloha 5</w:t>
            </w:r>
          </w:p>
        </w:tc>
      </w:tr>
    </w:tbl>
    <w:bookmarkEnd w:id="25"/>
    <w:bookmarkStart w:id="26" w:name="struktura-a-forma-nabídky"/>
    <w:p>
      <w:pPr>
        <w:pStyle w:val="Heading1"/>
      </w:pPr>
      <w:r>
        <w:t xml:space="preserve">7. Struktura a forma nabídky</w:t>
      </w:r>
    </w:p>
    <w:p>
      <w:pPr>
        <w:pStyle w:val="FirstParagraph"/>
      </w:pPr>
      <w:r>
        <w:t xml:space="preserve">Nabídka se podává elektronicky na adresu kontaktní osoby jako šifrovaný archiv (heslo zasláno samostatně), v češtině nebo angličtině. Cenová část se podává</w:t>
      </w:r>
      <w:r>
        <w:t xml:space="preserve"> </w:t>
      </w:r>
      <w:r>
        <w:rPr>
          <w:bCs/>
          <w:b/>
        </w:rPr>
        <w:t xml:space="preserve">samostatným souborem</w:t>
      </w:r>
      <w:r>
        <w:t xml:space="preserve">; Banka ji otevře až po vyhodnocení K.O. brány.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Část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Obsah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Krycí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Identifikace uchazeče, kontaktní osoba, platnost nabídky min. 180 dní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PDF, podepsáno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Matice shody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Příloha 1 vyplněná ve všech žlutých buňkách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XLSX (needitovat strukturu)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Feasibility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Dle závazné osnovy v Příloze 2, max. 80 stran bez příloh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+ 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Cenová nabídka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Příloha 3 – cenová šablona TCO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XLSX (samostatný soubor)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Odchylky od Přílohy 4 (pokud jsou), jinak prohlášení o akceptaci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Smluvní podmínky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Akceptace / výhrady k Příloze 5 v revizích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G.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Min. 2 banky v EU s nasazeným řešením v produkci (kontakt, rozsah, rok)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Příloha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H. Tým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klíčových osob: PM, solution architekt, AML konzultant, vedoucí migrace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I. Doklady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27001 / SOC 2, pojištění, výpis z OR, seznam subdodavatelů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J. DORA dotazník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Údaje pro registr informací a posouzení rizik ICT třetí strany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Příloha 8</w:t>
            </w:r>
          </w:p>
        </w:tc>
      </w:tr>
    </w:tbl>
    <w:p>
      <w:pPr>
        <w:pStyle w:val="BodyText"/>
      </w:pPr>
      <w:r>
        <w:rPr>
          <w:bCs/>
          <w:b/>
        </w:rPr>
        <w:t xml:space="preserve">Pravidlo křížové kontroly:</w:t>
      </w:r>
      <w:r>
        <w:t xml:space="preserve"> </w:t>
      </w:r>
      <w:r>
        <w:t xml:space="preserve">U každé odpovědi OOTB, Konfigurace a Custom vývoj musí Matice obsahovat odkaz na kapitolu Feasibility Study. Chybí-li odkaz, nebo není-li řešení ve FS popsáno, požadavek se považuje za nesplněný.</w:t>
      </w:r>
    </w:p>
    <w:p>
      <w:pPr>
        <w:pStyle w:val="BodyText"/>
      </w:pPr>
      <w:r>
        <w:rPr>
          <w:bCs/>
          <w:b/>
        </w:rPr>
        <w:t xml:space="preserve">Závaznost:</w:t>
      </w:r>
      <w:r>
        <w:t xml:space="preserve"> </w:t>
      </w:r>
      <w:r>
        <w:t xml:space="preserve">Odpovědi v Matici shody, Feasibility Study a SLA se stanou součástí smlouvy.</w:t>
      </w:r>
    </w:p>
    <w:bookmarkEnd w:id="26"/>
    <w:bookmarkStart w:id="27" w:name="dotazy-a-vysvětlení-qa"/>
    <w:p>
      <w:pPr>
        <w:pStyle w:val="Heading1"/>
      </w:pPr>
      <w:r>
        <w:t xml:space="preserve">8. Dotazy a vysvětlení (Q&amp;A)</w:t>
      </w:r>
    </w:p>
    <w:p>
      <w:pPr>
        <w:numPr>
          <w:ilvl w:val="0"/>
          <w:numId w:val="1003"/>
        </w:numPr>
        <w:pStyle w:val="Compact"/>
      </w:pPr>
      <w:r>
        <w:t xml:space="preserve">Dotazy zasílejte pouze e-mailem kontaktní osobě do 20. 11. 2026, 12:00. Dotazy po termínu nebudou zodpovězeny.</w:t>
      </w:r>
    </w:p>
    <w:p>
      <w:pPr>
        <w:numPr>
          <w:ilvl w:val="0"/>
          <w:numId w:val="1003"/>
        </w:numPr>
        <w:pStyle w:val="Compact"/>
      </w:pPr>
      <w:r>
        <w:t xml:space="preserve">Banka odpovídá písemně. Dotaz i odpověď zveřejní</w:t>
      </w:r>
      <w:r>
        <w:t xml:space="preserve"> </w:t>
      </w:r>
      <w:r>
        <w:rPr>
          <w:bCs/>
          <w:b/>
        </w:rPr>
        <w:t xml:space="preserve">všem uchazečům</w:t>
      </w:r>
      <w:r>
        <w:t xml:space="preserve"> </w:t>
      </w:r>
      <w:r>
        <w:t xml:space="preserve">v Q&amp;A logu bez identifikace tazatele, a to nejpozději 1× týdně.</w:t>
      </w:r>
    </w:p>
    <w:p>
      <w:pPr>
        <w:numPr>
          <w:ilvl w:val="0"/>
          <w:numId w:val="1003"/>
        </w:numPr>
        <w:pStyle w:val="Compact"/>
      </w:pPr>
      <w:r>
        <w:t xml:space="preserve">Pokud odpověď mění zadávací dokumentaci, Banka vydá novou verzi dotčeného dokumentu a uvede ji v Q&amp;A logu.</w:t>
      </w:r>
    </w:p>
    <w:p>
      <w:pPr>
        <w:numPr>
          <w:ilvl w:val="0"/>
          <w:numId w:val="1003"/>
        </w:numPr>
        <w:pStyle w:val="Compact"/>
      </w:pPr>
      <w:r>
        <w:t xml:space="preserve">Ústní informace nejsou závazné.</w:t>
      </w:r>
    </w:p>
    <w:bookmarkEnd w:id="27"/>
    <w:bookmarkStart w:id="28" w:name="hodnocení-nabídek"/>
    <w:p>
      <w:pPr>
        <w:pStyle w:val="Heading1"/>
      </w:pPr>
      <w:r>
        <w:t xml:space="preserve">9. Hodnocení nabídek</w:t>
      </w:r>
    </w:p>
    <w:p>
      <w:pPr>
        <w:pStyle w:val="FirstParagraph"/>
      </w:pPr>
      <w:r>
        <w:t xml:space="preserve">Hodnocení probíhá ve třech krocích:</w:t>
      </w:r>
      <w:r>
        <w:t xml:space="preserve"> </w:t>
      </w:r>
      <w:r>
        <w:rPr>
          <w:bCs/>
          <w:b/>
        </w:rPr>
        <w:t xml:space="preserve">(1) K.O. brána, (2) bodové hodnocení, (3) BAFO</w:t>
      </w:r>
      <w:r>
        <w:t xml:space="preserve"> </w:t>
      </w:r>
      <w:r>
        <w:t xml:space="preserve">se dvěma nejlépe hodnocenými uchazeči. Váhy byly schváleny před vyhlášením a nebudou měněny.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Váha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Zdroj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Metoda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Cena (TCO na 5 let)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Příloha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(nejnižší TCO / hodnocené TCO) × 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Byznys funkcionality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Příloha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OOTB 5 b., Konfigurace 3 b., Custom vývoj 1 b., 3rd party / Nesplněno 0 b.; váha Must 3, Should 2, Could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Architektura &amp; bezpečnost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Příloha 2 – 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Známka komise 0–10 za kapitoly 3, 4, 5, 6.6, 7, 9–10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a zkušenosti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Reference, CV, SLA, plán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Známka komise 0–10</w:t>
            </w:r>
          </w:p>
        </w:tc>
      </w:tr>
    </w:tbl>
    <w:p>
      <w:pPr>
        <w:pStyle w:val="BodyText"/>
      </w:pPr>
      <w:r>
        <w:t xml:space="preserve">Stupnice 0–10 pro FS: 8–10 detailní návrh přesně na rozhraní a systémy Banky; 4–7 standardizovaný popis bez detailu na specifické systémy Banky; 0–3 obecné marketingové fráze bez technické hloubky.</w:t>
      </w:r>
    </w:p>
    <w:p>
      <w:pPr>
        <w:pStyle w:val="BodyText"/>
      </w:pPr>
      <w:r>
        <w:t xml:space="preserve">Body za cenu a funkcionalitu se po BAFO přepočítají. Při rozdílu celkového skóre menším než 1,0 bodu rozhoduje vyšší skóre Architektura &amp; bezpečnost, poté nižší TCO.</w:t>
      </w:r>
    </w:p>
    <w:bookmarkEnd w:id="28"/>
    <w:bookmarkStart w:id="29" w:name="prezentace-a-skriptované-demo"/>
    <w:p>
      <w:pPr>
        <w:pStyle w:val="Heading1"/>
      </w:pPr>
      <w:r>
        <w:t xml:space="preserve">10. Prezentace a skriptované demo</w:t>
      </w:r>
    </w:p>
    <w:p>
      <w:pPr>
        <w:pStyle w:val="FirstParagraph"/>
      </w:pPr>
      <w:r>
        <w:t xml:space="preserve">Každý uchazeč předvede řešení podle scénáře, který Banka zašle 5 pracovních dnů předem. Demo probíhá na standardní verzi produktu bez úprav pro Banku. Scénáře zahrnují zejména: onboarding PEP klienta s vícevrstvou vlastnickou strukturou, shodu se sankčním seznamem v cyrilici, propsání blokace do CRM, změnu scénáře monitoringu v UI se schválením čtyřma očima, vygenerování OPO pro FAÚ. Tvrzení z Matice shody, která v demu nebudou prokázána, komise sníží na 0 bodů se zdůvodněním.</w:t>
      </w:r>
    </w:p>
    <w:bookmarkEnd w:id="29"/>
    <w:bookmarkStart w:id="30" w:name="bafo-a-jednání"/>
    <w:p>
      <w:pPr>
        <w:pStyle w:val="Heading1"/>
      </w:pPr>
      <w:r>
        <w:t xml:space="preserve">11. BAFO a jednání</w:t>
      </w:r>
    </w:p>
    <w:p>
      <w:pPr>
        <w:pStyle w:val="FirstParagraph"/>
      </w:pPr>
      <w:r>
        <w:t xml:space="preserve">Do kola BAFO postoupí nejvýše dva uchazeči. Banka s nimi může jednat o ceně, SLA a výhradách ke smluvním podmínkám. Rozsah předmětu plnění a požadavky Must se v jednání nemění. Po BAFO se nabídky znovu ohodnotí podle stejné metodiky.</w:t>
      </w:r>
    </w:p>
    <w:bookmarkEnd w:id="30"/>
    <w:bookmarkStart w:id="31" w:name="ostatní-podmínky"/>
    <w:p>
      <w:pPr>
        <w:pStyle w:val="Heading1"/>
      </w:pPr>
      <w:r>
        <w:t xml:space="preserve">12. Ostatní podmínky</w:t>
      </w:r>
    </w:p>
    <w:p>
      <w:pPr>
        <w:numPr>
          <w:ilvl w:val="0"/>
          <w:numId w:val="1004"/>
        </w:numPr>
        <w:pStyle w:val="Compact"/>
      </w:pPr>
      <w:r>
        <w:t xml:space="preserve">Náklady na účast v řízení nese uchazeč.</w:t>
      </w:r>
    </w:p>
    <w:p>
      <w:pPr>
        <w:numPr>
          <w:ilvl w:val="0"/>
          <w:numId w:val="1004"/>
        </w:numPr>
        <w:pStyle w:val="Compact"/>
      </w:pPr>
      <w:r>
        <w:t xml:space="preserve">Uchazeč uvede v nabídce všechny subdodavatele podílející se na plnění, jejich sídlo a místo plnění.</w:t>
      </w:r>
    </w:p>
    <w:p>
      <w:pPr>
        <w:numPr>
          <w:ilvl w:val="0"/>
          <w:numId w:val="1004"/>
        </w:numPr>
        <w:pStyle w:val="Compact"/>
      </w:pPr>
      <w:r>
        <w:t xml:space="preserve">Uchazeč prohlašuje, že on ani jeho subdodavatelé nejsou subjektem mezinárodních sankcí a nejsou ve střetu zájmů se zaměstnanci Banky.</w:t>
      </w:r>
    </w:p>
    <w:p>
      <w:pPr>
        <w:numPr>
          <w:ilvl w:val="0"/>
          <w:numId w:val="1004"/>
        </w:numPr>
        <w:pStyle w:val="Compact"/>
      </w:pPr>
      <w:r>
        <w:t xml:space="preserve">Banka má nulovou toleranci ke korupci; jakákoli nabídka výhod zaměstnancům Banky vede k vyloučení.</w:t>
      </w:r>
    </w:p>
    <w:p>
      <w:pPr>
        <w:numPr>
          <w:ilvl w:val="0"/>
          <w:numId w:val="1004"/>
        </w:numPr>
        <w:pStyle w:val="Compact"/>
      </w:pPr>
      <w:r>
        <w:t xml:space="preserve">Banka bude informovat ČNB o plánovaném smluvním ujednání v souladu s čl. 28 odst. 3 DORA; uchazeč poskytne potřebnou součinnost.</w:t>
      </w:r>
    </w:p>
    <w:bookmarkEnd w:id="31"/>
    <w:bookmarkStart w:id="32" w:name="seznam-příloh"/>
    <w:p>
      <w:pPr>
        <w:pStyle w:val="Heading1"/>
      </w:pPr>
      <w:r>
        <w:t xml:space="preserve">13. Seznam příloh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Příloha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Název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Matice shody (XLSX)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Závazná osnova Feasibility Study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Cenová šablona TCO na 5 let (XLSX)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Požadavky na 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Klíčové smluvní požadavky (DORA, GDPR, bankovní tajemství, exit)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Formulář referencí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Krycí list a čestné prohlášení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 dotazník ICT třetí strany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D-01 až D-06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Technické podklady po podpisu NDA</w:t>
            </w:r>
          </w:p>
        </w:tc>
      </w:tr>
    </w:tbl>
    <w:bookmarkEnd w:id="32"/>
    <w:bookmarkStart w:id="33" w:name="příloha-7-krycí-list-nabídky-vzor"/>
    <w:p>
      <w:pPr>
        <w:pStyle w:val="Heading1"/>
      </w:pPr>
      <w:r>
        <w:t xml:space="preserve">Příloha 7 – Krycí list nabídky (vzor)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Údaj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Vyplní uchazeč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Obchodní firma, sídlo, IČO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Osoba oprávněná jednat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Kontaktní osoba pro řízení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Nabízené řešení a verze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TCO na 5 let (Kč bez DPH) – dle Přílohy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uvádí se pouze v cenové části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Platnost nabídky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min. 180 dní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Subdodavatelé (název, země, rozsah)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Čestné prohlášení:</w:t>
      </w:r>
      <w:r>
        <w:t xml:space="preserve"> </w:t>
      </w:r>
      <w:r>
        <w:t xml:space="preserve">Uchazeč prohlašuje, že (a) není v likvidaci ani insolvenci, (b) on ani členové statutárního orgánu nebyli pravomocně odsouzeni za trestný čin související s podnikáním, (c) není subjektem mezinárodních sankcí EU, OSN ani ČR, (d) není ve střetu zájmů ve vztahu k Bance, (e) všechny údaje v nabídce jsou pravdivé a závazné.</w:t>
      </w:r>
    </w:p>
    <w:p>
      <w:pPr>
        <w:pStyle w:val="BodyText"/>
      </w:pPr>
      <w:r>
        <w:t xml:space="preserve">Datum, podpis osoby oprávněné jednat: ……………………</w:t>
      </w:r>
    </w:p>
    <w:bookmarkEnd w:id="33"/>
    <w:sectPr>
      <w:head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Horizont Privátní banka, a.s. · Projekt SENTINEL · FIKTIVNÍ CVIČNÝ DOKUMENT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eastAsia="Calibri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Calibr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eastAsia="Calibri"/>
      <w:b/>
      <w:bCs/>
      <w:color w:val="1F3864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eastAsia="Calibri"/>
      <w:b/>
    </w:rPr>
  </w:style>
  <w:style w:customStyle="1" w:styleId="Definition" w:type="paragraph">
    <w:name w:val="Definition"/>
    <w:basedOn w:val="Normal"/>
    <w:rPr>
      <w:rFonts w:ascii="Calibri" w:hAnsi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eastAsia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eastAsia="Calibri"/>
    </w:rPr>
  </w:style>
  <w:style w:customStyle="1" w:styleId="ImageCaption" w:type="paragraph">
    <w:name w:val="Image Caption"/>
    <w:basedOn w:val="Caption"/>
    <w:rPr>
      <w:rFonts w:ascii="Calibri" w:hAnsi="Calibri" w:eastAsia="Calibri"/>
    </w:rPr>
  </w:style>
  <w:style w:customStyle="1" w:styleId="Figure" w:type="paragraph">
    <w:name w:val="Figure"/>
    <w:basedOn w:val="Normal"/>
    <w:rPr>
      <w:rFonts w:ascii="Calibri" w:hAnsi="Calibri" w:eastAsia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eastAsia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Zadávací dokumentace – výzva k podání nabídky (RFP)</dc:title>
  <dc:creator/>
  <cp:keywords/>
  <dcterms:created xsi:type="dcterms:W3CDTF">2026-10-06T09:48:55Z</dcterms:created>
  <dcterms:modified xsi:type="dcterms:W3CDTF">2026-10-06T09:48:55Z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2. 11. 2026</vt:lpwstr>
  </property>
  <property fmtid="{D5CDD505-2E9C-101B-9397-08002B2CF9AE}" pid="3" name="subtitle">
    <vt:lpwstr>Dodávka, implementace a podpora KYC/AML řešení · Projekt SENTINEL · č. j. HPB-NAK-2026-041</vt:lpwstr>
  </property>
</Properties>
</file>