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Příloha</w:t>
      </w:r>
      <w:r>
        <w:t xml:space="preserve"> </w:t>
      </w:r>
      <w:r>
        <w:t xml:space="preserve">2</w:t>
      </w:r>
      <w:r>
        <w:t xml:space="preserve"> </w:t>
      </w:r>
      <w:r>
        <w:t xml:space="preserve">–</w:t>
      </w:r>
      <w:r>
        <w:t xml:space="preserve"> </w:t>
      </w:r>
      <w:r>
        <w:t xml:space="preserve">Závazná</w:t>
      </w:r>
      <w:r>
        <w:t xml:space="preserve"> </w:t>
      </w:r>
      <w:r>
        <w:t xml:space="preserve">osnova</w:t>
      </w:r>
      <w:r>
        <w:t xml:space="preserve"> </w:t>
      </w:r>
      <w:r>
        <w:t xml:space="preserve">Feasibility</w:t>
      </w:r>
      <w:r>
        <w:t xml:space="preserve"> </w:t>
      </w:r>
      <w:r>
        <w:t xml:space="preserve">Study</w:t>
      </w:r>
    </w:p>
    <w:p>
      <w:pPr>
        <w:pStyle w:val="Subtitle"/>
      </w:pPr>
      <w:r>
        <w:t xml:space="preserve">Výběrové</w:t>
      </w:r>
      <w:r>
        <w:t xml:space="preserve"> </w:t>
      </w:r>
      <w:r>
        <w:t xml:space="preserve">řízení</w:t>
      </w:r>
      <w:r>
        <w:t xml:space="preserve"> </w:t>
      </w:r>
      <w:r>
        <w:t xml:space="preserve">SENTINEL</w:t>
      </w:r>
      <w:r>
        <w:t xml:space="preserve"> </w:t>
      </w:r>
      <w:r>
        <w:t xml:space="preserve">–</w:t>
      </w:r>
      <w:r>
        <w:t xml:space="preserve"> </w:t>
      </w:r>
      <w:r>
        <w:t xml:space="preserve">KYC/AML</w:t>
      </w:r>
      <w:r>
        <w:t xml:space="preserve"> </w:t>
      </w:r>
      <w:r>
        <w:t xml:space="preserve">řešení</w:t>
      </w:r>
      <w:r>
        <w:t xml:space="preserve"> </w:t>
      </w:r>
      <w:r>
        <w:t xml:space="preserve">·</w:t>
      </w:r>
      <w:r>
        <w:t xml:space="preserve"> </w:t>
      </w:r>
      <w:r>
        <w:t xml:space="preserve">Horizont</w:t>
      </w:r>
      <w:r>
        <w:t xml:space="preserve"> </w:t>
      </w:r>
      <w:r>
        <w:t xml:space="preserve">Privátní</w:t>
      </w:r>
      <w:r>
        <w:t xml:space="preserve"> </w:t>
      </w:r>
      <w:r>
        <w:t xml:space="preserve">banka,</w:t>
      </w:r>
      <w:r>
        <w:t xml:space="preserve"> </w:t>
      </w:r>
      <w:r>
        <w:t xml:space="preserve">a.s.</w:t>
      </w:r>
    </w:p>
    <w:p>
      <w:pPr>
        <w:pStyle w:val="Date"/>
      </w:pPr>
      <w:r>
        <w:t xml:space="preserve">2.</w:t>
      </w:r>
      <w:r>
        <w:t xml:space="preserve"> </w:t>
      </w:r>
      <w:r>
        <w:t xml:space="preserve">11.</w:t>
      </w:r>
      <w:r>
        <w:t xml:space="preserve"> </w:t>
      </w:r>
      <w:r>
        <w:t xml:space="preserve">2026</w:t>
      </w:r>
    </w:p>
    <w:p>
      <w:pPr>
        <w:pStyle w:val="BlockText"/>
      </w:pPr>
      <w:r>
        <w:rPr>
          <w:bCs/>
          <w:b/>
        </w:rPr>
        <w:t xml:space="preserve">Fiktivní cvičný dokument.</w:t>
      </w:r>
    </w:p>
    <w:bookmarkStart w:id="20" w:name="pravidla"/>
    <w:p>
      <w:pPr>
        <w:pStyle w:val="Heading1"/>
      </w:pPr>
      <w:r>
        <w:t xml:space="preserve">Pravidla</w:t>
      </w:r>
    </w:p>
    <w:p>
      <w:pPr>
        <w:numPr>
          <w:ilvl w:val="0"/>
          <w:numId w:val="1001"/>
        </w:numPr>
        <w:pStyle w:val="Compact"/>
      </w:pPr>
      <w:r>
        <w:t xml:space="preserve">Feasibility Study (FS)</w:t>
      </w:r>
      <w:r>
        <w:t xml:space="preserve"> </w:t>
      </w:r>
      <w:r>
        <w:rPr>
          <w:bCs/>
          <w:b/>
        </w:rPr>
        <w:t xml:space="preserve">musí</w:t>
      </w:r>
      <w:r>
        <w:t xml:space="preserve"> </w:t>
      </w:r>
      <w:r>
        <w:t xml:space="preserve">dodržet číslování a názvy kapitol této osnovy. Kapitoly lze dále členit, nelze je slučovat ani vynechat. Pokud kapitola není relevantní, uveďte proč.</w:t>
      </w:r>
    </w:p>
    <w:p>
      <w:pPr>
        <w:numPr>
          <w:ilvl w:val="0"/>
          <w:numId w:val="1001"/>
        </w:numPr>
        <w:pStyle w:val="Compact"/>
      </w:pPr>
      <w:r>
        <w:t xml:space="preserve">Rozsah max. 80 stran bez příloh. Marketingové materiály nepatří do FS; komise je nehodnotí.</w:t>
      </w:r>
    </w:p>
    <w:p>
      <w:pPr>
        <w:numPr>
          <w:ilvl w:val="0"/>
          <w:numId w:val="1001"/>
        </w:numPr>
        <w:pStyle w:val="Compact"/>
      </w:pPr>
      <w:r>
        <w:t xml:space="preserve">Každá odpověď OOTB, Konfigurace a Custom vývoj v Matici shody (Příloha 1) musí odkazovat na kapitolu FS, kde je řešení popsáno. Komise tyto odkazy kontroluje.</w:t>
      </w:r>
    </w:p>
    <w:p>
      <w:pPr>
        <w:numPr>
          <w:ilvl w:val="0"/>
          <w:numId w:val="1001"/>
        </w:numPr>
        <w:pStyle w:val="Compact"/>
      </w:pPr>
      <w:r>
        <w:t xml:space="preserve">FS popisuje řešení</w:t>
      </w:r>
      <w:r>
        <w:t xml:space="preserve"> </w:t>
      </w:r>
      <w:r>
        <w:rPr>
          <w:bCs/>
          <w:b/>
        </w:rPr>
        <w:t xml:space="preserve">pro Banku</w:t>
      </w:r>
      <w:r>
        <w:t xml:space="preserve"> </w:t>
      </w:r>
      <w:r>
        <w:t xml:space="preserve">– na jejích systémech, rozhraních a objemech (viz D-01 až D-06). Obecný popis produktu bude hodnocen 0–3 body.</w:t>
      </w:r>
    </w:p>
    <w:p>
      <w:pPr>
        <w:numPr>
          <w:ilvl w:val="0"/>
          <w:numId w:val="1001"/>
        </w:numPr>
        <w:pStyle w:val="Compact"/>
      </w:pPr>
      <w:r>
        <w:t xml:space="preserve">Obsah FS je závazný a stane se součástí smlouvy.</w:t>
      </w:r>
    </w:p>
    <w:bookmarkEnd w:id="20"/>
    <w:bookmarkStart w:id="33" w:name="osnova"/>
    <w:p>
      <w:pPr>
        <w:pStyle w:val="Heading1"/>
      </w:pPr>
      <w:r>
        <w:t xml:space="preserve">Osnova</w:t>
      </w:r>
    </w:p>
    <w:bookmarkStart w:id="21" w:name="manažerské-shrnutí-max.-2-strany"/>
    <w:p>
      <w:pPr>
        <w:pStyle w:val="Heading2"/>
      </w:pPr>
      <w:r>
        <w:t xml:space="preserve">1. Manažerské shrnutí (max. 2 strany)</w:t>
      </w:r>
    </w:p>
    <w:p>
      <w:pPr>
        <w:pStyle w:val="FirstParagraph"/>
      </w:pPr>
      <w:r>
        <w:t xml:space="preserve">Navrhované řešení, klíčové přínosy pro Banku, hlavní předpoklady a rizika, souhrn počtu odpovědí OOTB / Konfigurace / Custom vývoj z Matice.</w:t>
      </w:r>
    </w:p>
    <w:bookmarkEnd w:id="21"/>
    <w:bookmarkStart w:id="22" w:name="porozumění-zadání-a-výchozímu-stavu"/>
    <w:p>
      <w:pPr>
        <w:pStyle w:val="Heading2"/>
      </w:pPr>
      <w:r>
        <w:t xml:space="preserve">2. Porozumění zadání a výchozímu stavu</w:t>
      </w:r>
    </w:p>
    <w:p>
      <w:pPr>
        <w:pStyle w:val="FirstParagraph"/>
      </w:pPr>
      <w:r>
        <w:t xml:space="preserve">Jak dodavatel rozumí procesům onboardingu, revizí, screeningu a rozhodování v CRM; identifikované mezery a otázky.</w:t>
      </w:r>
    </w:p>
    <w:bookmarkEnd w:id="22"/>
    <w:bookmarkStart w:id="23" w:name="návrh-cílové-architektury"/>
    <w:p>
      <w:pPr>
        <w:pStyle w:val="Heading2"/>
      </w:pPr>
      <w:r>
        <w:t xml:space="preserve">3. Návrh cílové architektury</w:t>
      </w:r>
    </w:p>
    <w:p>
      <w:pPr>
        <w:numPr>
          <w:ilvl w:val="0"/>
          <w:numId w:val="1002"/>
        </w:numPr>
        <w:pStyle w:val="Compact"/>
      </w:pPr>
      <w:r>
        <w:t xml:space="preserve">3.1 Model nasazení (on-premise v DC Banky / privátní cloud), lokality všech dat, záloh a podpory (</w:t>
      </w:r>
      <w:r>
        <w:rPr>
          <w:bCs/>
          <w:b/>
        </w:rPr>
        <w:t xml:space="preserve">K.O. NFR-006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3.2 Prostředí DEV, SIT, UAT, PreProd, PROD, DR a jejich sizing</w:t>
      </w:r>
    </w:p>
    <w:p>
      <w:pPr>
        <w:numPr>
          <w:ilvl w:val="0"/>
          <w:numId w:val="1002"/>
        </w:numPr>
        <w:pStyle w:val="Compact"/>
      </w:pPr>
      <w:r>
        <w:t xml:space="preserve">3.3 Logické a fyzické schéma komponent, databáze, middleware, licence třetích stran, datové zdroje (sankce, PEP)</w:t>
      </w:r>
    </w:p>
    <w:p>
      <w:pPr>
        <w:numPr>
          <w:ilvl w:val="0"/>
          <w:numId w:val="1002"/>
        </w:numPr>
        <w:pStyle w:val="Compact"/>
      </w:pPr>
      <w:r>
        <w:t xml:space="preserve">3.4 Vysoká dostupnost, zálohování, obnova (RTO ≤ 4 h, RPO ≤ 15 min), výkon a škálování na 2× objem</w:t>
      </w:r>
    </w:p>
    <w:bookmarkEnd w:id="23"/>
    <w:bookmarkStart w:id="24" w:name="bezpečnostní-koncept"/>
    <w:p>
      <w:pPr>
        <w:pStyle w:val="Heading2"/>
      </w:pPr>
      <w:r>
        <w:t xml:space="preserve">4. Bezpečnostní koncept</w:t>
      </w:r>
    </w:p>
    <w:p>
      <w:pPr>
        <w:numPr>
          <w:ilvl w:val="0"/>
          <w:numId w:val="1003"/>
        </w:numPr>
        <w:pStyle w:val="Compact"/>
      </w:pPr>
      <w:r>
        <w:t xml:space="preserve">4.1 Řízení bezpečnosti u dodavatele (ISO 27001 / SOC 2), model rolí a oprávnění (RBAC), recertifikace</w:t>
      </w:r>
    </w:p>
    <w:p>
      <w:pPr>
        <w:numPr>
          <w:ilvl w:val="0"/>
          <w:numId w:val="1003"/>
        </w:numPr>
        <w:pStyle w:val="Compact"/>
      </w:pPr>
      <w:r>
        <w:t xml:space="preserve">4.2 Identita a přístup: SSO přes SAML 2.0 / OIDC (</w:t>
      </w:r>
      <w:r>
        <w:rPr>
          <w:bCs/>
          <w:b/>
        </w:rPr>
        <w:t xml:space="preserve">K.O. SEC-001</w:t>
      </w:r>
      <w:r>
        <w:t xml:space="preserve">), MFA, PAM pro privilegované účty</w:t>
      </w:r>
    </w:p>
    <w:p>
      <w:pPr>
        <w:numPr>
          <w:ilvl w:val="0"/>
          <w:numId w:val="1003"/>
        </w:numPr>
        <w:pStyle w:val="Compact"/>
      </w:pPr>
      <w:r>
        <w:t xml:space="preserve">4.3 Šifrování v klidu a při přenosu, správa klíčů v HSM/KMS Banky, uchovávání hesel, maskování dat v neprodukci</w:t>
      </w:r>
    </w:p>
    <w:p>
      <w:pPr>
        <w:numPr>
          <w:ilvl w:val="0"/>
          <w:numId w:val="1003"/>
        </w:numPr>
        <w:pStyle w:val="Compact"/>
      </w:pPr>
      <w:r>
        <w:t xml:space="preserve">4.4 Logování a auditní stopa, předávání do SIEM, neměnnost logů</w:t>
      </w:r>
    </w:p>
    <w:p>
      <w:pPr>
        <w:numPr>
          <w:ilvl w:val="0"/>
          <w:numId w:val="1003"/>
        </w:numPr>
        <w:pStyle w:val="Compact"/>
      </w:pPr>
      <w:r>
        <w:t xml:space="preserve">4.5 Řízení zranitelností a patch management (lhůty), penetrační testy a TLPT –</w:t>
      </w:r>
      <w:r>
        <w:t xml:space="preserve"> </w:t>
      </w:r>
      <w:r>
        <w:rPr>
          <w:bCs/>
          <w:b/>
        </w:rPr>
        <w:t xml:space="preserve">harmonogram</w:t>
      </w:r>
      <w:r>
        <w:t xml:space="preserve">, SBOM, bezpečný vývoj</w:t>
      </w:r>
    </w:p>
    <w:bookmarkEnd w:id="24"/>
    <w:bookmarkStart w:id="25" w:name="řešení-kritických-integrací"/>
    <w:p>
      <w:pPr>
        <w:pStyle w:val="Heading2"/>
      </w:pPr>
      <w:r>
        <w:t xml:space="preserve">5. Řešení kritických integrací</w:t>
      </w:r>
    </w:p>
    <w:p>
      <w:pPr>
        <w:pStyle w:val="FirstParagraph"/>
      </w:pPr>
      <w:r>
        <w:t xml:space="preserve">Pro každou integraci: technologie, směr, formát a frekvence, chybové stavy a opakování, monitoring, odpovědnost Banky vs. dodavatele.</w:t>
      </w:r>
    </w:p>
    <w:p>
      <w:pPr>
        <w:numPr>
          <w:ilvl w:val="0"/>
          <w:numId w:val="1004"/>
        </w:numPr>
        <w:pStyle w:val="Compact"/>
      </w:pPr>
      <w:r>
        <w:t xml:space="preserve">5.1 CRM – onboarding, stav KYC, rizikový profil, rozhodnutí; embedded komponenta / API (</w:t>
      </w:r>
      <w:r>
        <w:rPr>
          <w:bCs/>
          <w:b/>
        </w:rPr>
        <w:t xml:space="preserve">K.O. INT-001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5.2 Core banking přes bankovní Kafka (Avro, schema registry, mTLS)</w:t>
      </w:r>
    </w:p>
    <w:p>
      <w:pPr>
        <w:numPr>
          <w:ilvl w:val="0"/>
          <w:numId w:val="1004"/>
        </w:numPr>
        <w:pStyle w:val="Compact"/>
      </w:pPr>
      <w:r>
        <w:t xml:space="preserve">5.3 ESB pro legacy systémy</w:t>
      </w:r>
    </w:p>
    <w:p>
      <w:pPr>
        <w:numPr>
          <w:ilvl w:val="0"/>
          <w:numId w:val="1004"/>
        </w:numPr>
        <w:pStyle w:val="Compact"/>
      </w:pPr>
      <w:r>
        <w:t xml:space="preserve">5.4 Platební systém – online screening a pozastavení plateb, odklad splnění příkazu</w:t>
      </w:r>
    </w:p>
    <w:p>
      <w:pPr>
        <w:numPr>
          <w:ilvl w:val="0"/>
          <w:numId w:val="1004"/>
        </w:numPr>
        <w:pStyle w:val="Compact"/>
      </w:pPr>
      <w:r>
        <w:t xml:space="preserve">5.5 DWH, DMS, SIEM, monitoring, zálohování</w:t>
      </w:r>
    </w:p>
    <w:p>
      <w:pPr>
        <w:numPr>
          <w:ilvl w:val="0"/>
          <w:numId w:val="1004"/>
        </w:numPr>
        <w:pStyle w:val="Compact"/>
      </w:pPr>
      <w:r>
        <w:t xml:space="preserve">5.6 Veřejné registry (ARES, ESM), BankID (volitelně)</w:t>
      </w:r>
    </w:p>
    <w:bookmarkEnd w:id="25"/>
    <w:bookmarkStart w:id="26" w:name="Xca1b127e04d76a8380670469757bf3eca77250f"/>
    <w:p>
      <w:pPr>
        <w:pStyle w:val="Heading2"/>
      </w:pPr>
      <w:r>
        <w:t xml:space="preserve">6. Funkční pokrytí a řešení custom požadavků</w:t>
      </w:r>
    </w:p>
    <w:p>
      <w:pPr>
        <w:numPr>
          <w:ilvl w:val="0"/>
          <w:numId w:val="1005"/>
        </w:numPr>
        <w:pStyle w:val="Compact"/>
      </w:pPr>
      <w:r>
        <w:t xml:space="preserve">6.1 KYC/CDD a rizikový model</w:t>
      </w:r>
    </w:p>
    <w:p>
      <w:pPr>
        <w:numPr>
          <w:ilvl w:val="0"/>
          <w:numId w:val="1005"/>
        </w:numPr>
        <w:pStyle w:val="Compact"/>
      </w:pPr>
      <w:r>
        <w:t xml:space="preserve">6.2 Screening (sankce, PEP, adverse media), matching a ladění falešně pozitivních shod</w:t>
      </w:r>
    </w:p>
    <w:p>
      <w:pPr>
        <w:numPr>
          <w:ilvl w:val="0"/>
          <w:numId w:val="1005"/>
        </w:numPr>
        <w:pStyle w:val="Compact"/>
      </w:pPr>
      <w:r>
        <w:t xml:space="preserve">6.3 Monitoring transakcí, knihovna scénářů, backtesting, ML (pokud je nabízeno)</w:t>
      </w:r>
    </w:p>
    <w:p>
      <w:pPr>
        <w:numPr>
          <w:ilvl w:val="0"/>
          <w:numId w:val="1005"/>
        </w:numPr>
        <w:pStyle w:val="Compact"/>
      </w:pPr>
      <w:r>
        <w:t xml:space="preserve">6.4 Správa případů a rozhodování, princip čtyř očí</w:t>
      </w:r>
    </w:p>
    <w:p>
      <w:pPr>
        <w:numPr>
          <w:ilvl w:val="0"/>
          <w:numId w:val="1005"/>
        </w:numPr>
        <w:pStyle w:val="Compact"/>
      </w:pPr>
      <w:r>
        <w:t xml:space="preserve">6.5 Reporting, OPO pro FAÚ</w:t>
      </w:r>
    </w:p>
    <w:p>
      <w:pPr>
        <w:numPr>
          <w:ilvl w:val="0"/>
          <w:numId w:val="1005"/>
        </w:numPr>
        <w:pStyle w:val="Compact"/>
      </w:pPr>
      <w:r>
        <w:t xml:space="preserve">6.6</w:t>
      </w:r>
      <w:r>
        <w:t xml:space="preserve"> </w:t>
      </w:r>
      <w:r>
        <w:rPr>
          <w:bCs/>
          <w:b/>
        </w:rPr>
        <w:t xml:space="preserve">Řešení custom požadavků:</w:t>
      </w:r>
      <w:r>
        <w:t xml:space="preserve"> </w:t>
      </w:r>
      <w:r>
        <w:t xml:space="preserve">pro každý požadavek označený v Matici jako Custom vývoj – technický návrh, pracnost v MD, dopad na upgrady produktu a kdo nese údržbu</w:t>
      </w:r>
    </w:p>
    <w:bookmarkEnd w:id="26"/>
    <w:bookmarkStart w:id="27" w:name="plán-implementace-a-migrace"/>
    <w:p>
      <w:pPr>
        <w:pStyle w:val="Heading2"/>
      </w:pPr>
      <w:r>
        <w:t xml:space="preserve">7. Plán implementace a migrace</w:t>
      </w:r>
    </w:p>
    <w:p>
      <w:pPr>
        <w:numPr>
          <w:ilvl w:val="0"/>
          <w:numId w:val="1006"/>
        </w:numPr>
        <w:pStyle w:val="Compact"/>
      </w:pPr>
      <w:r>
        <w:t xml:space="preserve">7.1 Fázování, milníky, kritická cesta, kapacity dodavatele a požadované kapacity Banky</w:t>
      </w:r>
    </w:p>
    <w:p>
      <w:pPr>
        <w:numPr>
          <w:ilvl w:val="0"/>
          <w:numId w:val="1006"/>
        </w:numPr>
        <w:pStyle w:val="Compact"/>
      </w:pPr>
      <w:r>
        <w:t xml:space="preserve">7.2 Datová migrace: rozsah (10 let), mapování, profilace a kvalita dat, zkušební běhy, rekonciliace</w:t>
      </w:r>
    </w:p>
    <w:p>
      <w:pPr>
        <w:numPr>
          <w:ilvl w:val="0"/>
          <w:numId w:val="1006"/>
        </w:numPr>
        <w:pStyle w:val="Compact"/>
      </w:pPr>
      <w:r>
        <w:t xml:space="preserve">7.3 Přechod bez výpadku služby pro klienty: paralelní provoz min. 4 týdny, cutover, rollback plán</w:t>
      </w:r>
    </w:p>
    <w:p>
      <w:pPr>
        <w:numPr>
          <w:ilvl w:val="0"/>
          <w:numId w:val="1006"/>
        </w:numPr>
        <w:pStyle w:val="Compact"/>
      </w:pPr>
      <w:r>
        <w:t xml:space="preserve">7.4 Testovací strategie (SIT, UAT, výkonnostní testy) a školení</w:t>
      </w:r>
    </w:p>
    <w:bookmarkEnd w:id="27"/>
    <w:bookmarkStart w:id="28" w:name="provozní-model-a-podpora"/>
    <w:p>
      <w:pPr>
        <w:pStyle w:val="Heading2"/>
      </w:pPr>
      <w:r>
        <w:t xml:space="preserve">8. Provozní model a podpora</w:t>
      </w:r>
    </w:p>
    <w:p>
      <w:pPr>
        <w:numPr>
          <w:ilvl w:val="0"/>
          <w:numId w:val="1007"/>
        </w:numPr>
        <w:pStyle w:val="Compact"/>
      </w:pPr>
      <w:r>
        <w:t xml:space="preserve">8.1 Model podpory, SLA vs. Příloha 4, měření dostupnosti, eskalace, RCA</w:t>
      </w:r>
    </w:p>
    <w:p>
      <w:pPr>
        <w:numPr>
          <w:ilvl w:val="0"/>
          <w:numId w:val="1007"/>
        </w:numPr>
        <w:pStyle w:val="Compact"/>
      </w:pPr>
      <w:r>
        <w:t xml:space="preserve">8.2 Release management, frekvence verzí, legislativní údržba</w:t>
      </w:r>
    </w:p>
    <w:bookmarkEnd w:id="28"/>
    <w:bookmarkStart w:id="29" w:name="regulatorní-soulad-a-auditovatelnost"/>
    <w:p>
      <w:pPr>
        <w:pStyle w:val="Heading2"/>
      </w:pPr>
      <w:r>
        <w:t xml:space="preserve">9. Regulatorní soulad a auditovatelnost</w:t>
      </w:r>
    </w:p>
    <w:p>
      <w:pPr>
        <w:numPr>
          <w:ilvl w:val="0"/>
          <w:numId w:val="1008"/>
        </w:numPr>
        <w:pStyle w:val="Compact"/>
      </w:pPr>
      <w:r>
        <w:t xml:space="preserve">9.1 AML zákon, vyhláška ČNB 67/2018, AMLR/AMLA – roadmapa; DORA (čl. 28–30), GDPR (DPA, DPIA, čl. 22), AI Act (pokud relevantní); akceptace Přílohy 5</w:t>
      </w:r>
    </w:p>
    <w:p>
      <w:pPr>
        <w:numPr>
          <w:ilvl w:val="0"/>
          <w:numId w:val="1008"/>
        </w:numPr>
        <w:pStyle w:val="Compact"/>
      </w:pPr>
      <w:r>
        <w:t xml:space="preserve">9.2 Auditní stopa, rekonstrukce rozhodnutí a rizikových profilů, retenční pravidla</w:t>
      </w:r>
    </w:p>
    <w:bookmarkEnd w:id="29"/>
    <w:bookmarkStart w:id="30" w:name="exit-strategie"/>
    <w:p>
      <w:pPr>
        <w:pStyle w:val="Heading2"/>
      </w:pPr>
      <w:r>
        <w:t xml:space="preserve">10. Exit strategie</w:t>
      </w:r>
    </w:p>
    <w:p>
      <w:pPr>
        <w:pStyle w:val="FirstParagraph"/>
      </w:pPr>
      <w:r>
        <w:t xml:space="preserve">Postup ukončení, export všech dat a konfigurace v otevřeném formátu, součinnost min. 12 měsíců, přechodné období, escrow.</w:t>
      </w:r>
    </w:p>
    <w:bookmarkEnd w:id="30"/>
    <w:bookmarkStart w:id="31" w:name="rizika-a-předpoklady"/>
    <w:p>
      <w:pPr>
        <w:pStyle w:val="Heading2"/>
      </w:pPr>
      <w:r>
        <w:t xml:space="preserve">11. Rizika a předpoklady</w:t>
      </w:r>
    </w:p>
    <w:p>
      <w:pPr>
        <w:pStyle w:val="FirstParagraph"/>
      </w:pPr>
      <w:r>
        <w:t xml:space="preserve">Všechny předpoklady, na kterých stojí cena a harmonogram. Předpoklad neuvedený zde nelze později uplatnit jako důvod víceprací.</w:t>
      </w:r>
    </w:p>
    <w:bookmarkEnd w:id="31"/>
    <w:bookmarkStart w:id="32" w:name="dodavatel-tým-a-reference"/>
    <w:p>
      <w:pPr>
        <w:pStyle w:val="Heading2"/>
      </w:pPr>
      <w:r>
        <w:t xml:space="preserve">12. Dodavatel, tým a reference</w:t>
      </w:r>
    </w:p>
    <w:p>
      <w:pPr>
        <w:pStyle w:val="FirstParagraph"/>
      </w:pPr>
      <w:r>
        <w:t xml:space="preserve">Organizace projektu, klíčové osoby (shodné s CV v nabídce), subdodavatelé, reference, pojištění odpovědnosti.</w:t>
      </w:r>
    </w:p>
    <w:bookmarkEnd w:id="32"/>
    <w:bookmarkEnd w:id="33"/>
    <w:bookmarkStart w:id="34" w:name="jak-bude-fs-hodnocena"/>
    <w:p>
      <w:pPr>
        <w:pStyle w:val="Heading1"/>
      </w:pPr>
      <w:r>
        <w:t xml:space="preserve">Jak bude FS hodnocena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Kapitoly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Hodnoticí kritérium (list 3_Arch_Sec)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Návrh cílové architektury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Bezpečnostní koncept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Řešení kritických integrací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Řešení custom požadavků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Plán implementace a migrace bez výpadku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Regulatorní soulad, auditovatelnost a exit strategie</w:t>
            </w:r>
          </w:p>
        </w:tc>
      </w:tr>
    </w:tbl>
    <w:p>
      <w:pPr>
        <w:pStyle w:val="BodyText"/>
      </w:pPr>
      <w:r>
        <w:t xml:space="preserve">Každý hlasující člen komise přidělí 0–10 bodů:</w:t>
      </w:r>
      <w:r>
        <w:t xml:space="preserve"> </w:t>
      </w:r>
      <w:r>
        <w:rPr>
          <w:bCs/>
          <w:b/>
        </w:rPr>
        <w:t xml:space="preserve">8–10</w:t>
      </w:r>
      <w:r>
        <w:t xml:space="preserve"> </w:t>
      </w:r>
      <w:r>
        <w:t xml:space="preserve">detailní návrh přesně na rozhraní a systémy Banky;</w:t>
      </w:r>
      <w:r>
        <w:t xml:space="preserve"> </w:t>
      </w:r>
      <w:r>
        <w:rPr>
          <w:bCs/>
          <w:b/>
        </w:rPr>
        <w:t xml:space="preserve">4–7</w:t>
      </w:r>
      <w:r>
        <w:t xml:space="preserve"> </w:t>
      </w:r>
      <w:r>
        <w:t xml:space="preserve">standardizovaný popis, chybí detail na specifické systémy (core, CRM);</w:t>
      </w:r>
      <w:r>
        <w:t xml:space="preserve"> </w:t>
      </w:r>
      <w:r>
        <w:rPr>
          <w:bCs/>
          <w:b/>
        </w:rPr>
        <w:t xml:space="preserve">0–3</w:t>
      </w:r>
      <w:r>
        <w:t xml:space="preserve"> </w:t>
      </w:r>
      <w:r>
        <w:t xml:space="preserve">obecné marketingové fráze bez technické hloubky.</w:t>
      </w:r>
    </w:p>
    <w:bookmarkEnd w:id="34"/>
    <w:sectPr>
      <w:head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Horizont Privátní banka, a.s. · Projekt SENTINEL · FIKTIVNÍ CVIČNÝ DOKUMENT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Calibri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Calibri"/>
      <w:b/>
    </w:rPr>
  </w:style>
  <w:style w:customStyle="1" w:styleId="Definition" w:type="paragraph">
    <w:name w:val="Definition"/>
    <w:basedOn w:val="Normal"/>
    <w:rPr>
      <w:rFonts w:ascii="Calibri" w:hAnsi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Calibri"/>
    </w:rPr>
  </w:style>
  <w:style w:customStyle="1" w:styleId="ImageCaption" w:type="paragraph">
    <w:name w:val="Image Caption"/>
    <w:basedOn w:val="Caption"/>
    <w:rPr>
      <w:rFonts w:ascii="Calibri" w:hAnsi="Calibri" w:eastAsia="Calibri"/>
    </w:rPr>
  </w:style>
  <w:style w:customStyle="1" w:styleId="Figure" w:type="paragraph">
    <w:name w:val="Figure"/>
    <w:basedOn w:val="Normal"/>
    <w:rPr>
      <w:rFonts w:ascii="Calibri" w:hAnsi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Příloha 2 – Závazná osnova Feasibility Study</dc:title>
  <dc:creator/>
  <cp:keywords/>
  <dcterms:created xsi:type="dcterms:W3CDTF">2026-10-06T09:48:55Z</dcterms:created>
  <dcterms:modified xsi:type="dcterms:W3CDTF">2026-10-06T09:48:55Z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2. 11. 2026</vt:lpwstr>
  </property>
  <property fmtid="{D5CDD505-2E9C-101B-9397-08002B2CF9AE}" pid="3" name="subtitle">
    <vt:lpwstr>Výběrové řízení SENTINEL – KYC/AML řešení · Horizont Privátní banka, a.s.</vt:lpwstr>
  </property>
</Properties>
</file>