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Příloha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Požadavky</w:t>
      </w:r>
      <w:r>
        <w:t xml:space="preserve"> </w:t>
      </w:r>
      <w:r>
        <w:t xml:space="preserve">na</w:t>
      </w:r>
      <w:r>
        <w:t xml:space="preserve"> </w:t>
      </w:r>
      <w:r>
        <w:t xml:space="preserve">úroveň</w:t>
      </w:r>
      <w:r>
        <w:t xml:space="preserve"> </w:t>
      </w:r>
      <w:r>
        <w:t xml:space="preserve">služeb</w:t>
      </w:r>
      <w:r>
        <w:t xml:space="preserve"> </w:t>
      </w:r>
      <w:r>
        <w:t xml:space="preserve">(SLA)</w:t>
      </w:r>
    </w:p>
    <w:p>
      <w:pPr>
        <w:pStyle w:val="Subtitle"/>
      </w:pPr>
      <w:r>
        <w:t xml:space="preserve">Výběrové</w:t>
      </w:r>
      <w:r>
        <w:t xml:space="preserve"> </w:t>
      </w:r>
      <w:r>
        <w:t xml:space="preserve">řízení</w:t>
      </w:r>
      <w:r>
        <w:t xml:space="preserve"> </w:t>
      </w:r>
      <w:r>
        <w:t xml:space="preserve">SENTINEL</w:t>
      </w:r>
      <w:r>
        <w:t xml:space="preserve"> </w:t>
      </w:r>
      <w:r>
        <w:t xml:space="preserve">–</w:t>
      </w:r>
      <w:r>
        <w:t xml:space="preserve"> </w:t>
      </w:r>
      <w:r>
        <w:t xml:space="preserve">KYC/AML</w:t>
      </w:r>
      <w:r>
        <w:t xml:space="preserve"> </w:t>
      </w:r>
      <w:r>
        <w:t xml:space="preserve">řešení</w:t>
      </w:r>
      <w:r>
        <w:t xml:space="preserve"> </w:t>
      </w:r>
      <w:r>
        <w:t xml:space="preserve">·</w:t>
      </w:r>
      <w:r>
        <w:t xml:space="preserve"> </w:t>
      </w:r>
      <w:r>
        <w:t xml:space="preserve">Horizont</w:t>
      </w:r>
      <w:r>
        <w:t xml:space="preserve"> </w:t>
      </w:r>
      <w:r>
        <w:t xml:space="preserve">Privátní</w:t>
      </w:r>
      <w:r>
        <w:t xml:space="preserve"> </w:t>
      </w:r>
      <w:r>
        <w:t xml:space="preserve">banka,</w:t>
      </w:r>
      <w:r>
        <w:t xml:space="preserve"> </w:t>
      </w:r>
      <w:r>
        <w:t xml:space="preserve">a.s.</w:t>
      </w:r>
    </w:p>
    <w:p>
      <w:pPr>
        <w:pStyle w:val="Date"/>
      </w:pPr>
      <w:r>
        <w:t xml:space="preserve">2.</w:t>
      </w:r>
      <w:r>
        <w:t xml:space="preserve"> </w:t>
      </w:r>
      <w:r>
        <w:t xml:space="preserve">11.</w:t>
      </w:r>
      <w:r>
        <w:t xml:space="preserve"> </w:t>
      </w:r>
      <w:r>
        <w:t xml:space="preserve">2026</w:t>
      </w:r>
    </w:p>
    <w:p>
      <w:pPr>
        <w:pStyle w:val="BlockText"/>
      </w:pPr>
      <w:r>
        <w:rPr>
          <w:bCs/>
          <w:b/>
        </w:rPr>
        <w:t xml:space="preserve">Fiktivní cvičný dokument.</w:t>
      </w:r>
      <w:r>
        <w:t xml:space="preserve"> </w:t>
      </w:r>
      <w:r>
        <w:t xml:space="preserve">Hodnoty jsou minimální požadavky Banky. Odchylky uveďte v části E nabídky; budou zohledněny v hodnocení Delivery (kritérium D3).</w:t>
      </w:r>
    </w:p>
    <w:bookmarkStart w:id="20" w:name="principy"/>
    <w:p>
      <w:pPr>
        <w:pStyle w:val="Heading1"/>
      </w:pPr>
      <w:r>
        <w:t xml:space="preserve">1. Principy</w:t>
      </w:r>
    </w:p>
    <w:p>
      <w:pPr>
        <w:numPr>
          <w:ilvl w:val="0"/>
          <w:numId w:val="1001"/>
        </w:numPr>
        <w:pStyle w:val="Compact"/>
      </w:pPr>
      <w:r>
        <w:t xml:space="preserve">SLA měří</w:t>
      </w:r>
      <w:r>
        <w:t xml:space="preserve"> </w:t>
      </w:r>
      <w:r>
        <w:rPr>
          <w:bCs/>
          <w:b/>
        </w:rPr>
        <w:t xml:space="preserve">dopad na byznys Banky</w:t>
      </w:r>
      <w:r>
        <w:t xml:space="preserve">, ne stav infrastruktury dodavatele.</w:t>
      </w:r>
    </w:p>
    <w:p>
      <w:pPr>
        <w:numPr>
          <w:ilvl w:val="0"/>
          <w:numId w:val="1001"/>
        </w:numPr>
        <w:pStyle w:val="Compact"/>
      </w:pPr>
      <w:r>
        <w:t xml:space="preserve">Rozhoduje doba do</w:t>
      </w:r>
      <w:r>
        <w:t xml:space="preserve"> </w:t>
      </w:r>
      <w:r>
        <w:rPr>
          <w:bCs/>
          <w:b/>
        </w:rPr>
        <w:t xml:space="preserve">obnovení provozu (workaround)</w:t>
      </w:r>
      <w:r>
        <w:t xml:space="preserve"> </w:t>
      </w:r>
      <w:r>
        <w:t xml:space="preserve">a doba do</w:t>
      </w:r>
      <w:r>
        <w:t xml:space="preserve"> </w:t>
      </w:r>
      <w:r>
        <w:rPr>
          <w:bCs/>
          <w:b/>
        </w:rPr>
        <w:t xml:space="preserve">finálního vyřešení (resolution)</w:t>
      </w:r>
      <w:r>
        <w:t xml:space="preserve">. Doba reakce je jen doplňková metrika.</w:t>
      </w:r>
    </w:p>
    <w:p>
      <w:pPr>
        <w:numPr>
          <w:ilvl w:val="0"/>
          <w:numId w:val="1001"/>
        </w:numPr>
        <w:pStyle w:val="Compact"/>
      </w:pPr>
      <w:r>
        <w:t xml:space="preserve">Prioritu incidentu určuje</w:t>
      </w:r>
      <w:r>
        <w:t xml:space="preserve"> </w:t>
      </w:r>
      <w:r>
        <w:rPr>
          <w:bCs/>
          <w:b/>
        </w:rPr>
        <w:t xml:space="preserve">Banka</w:t>
      </w:r>
      <w:r>
        <w:t xml:space="preserve"> </w:t>
      </w:r>
      <w:r>
        <w:t xml:space="preserve">podle definic v kap. 2. Dodavatel ji může rozporovat až po obnovení provozu, nikoli jednostranně snížit.</w:t>
      </w:r>
    </w:p>
    <w:p>
      <w:pPr>
        <w:numPr>
          <w:ilvl w:val="0"/>
          <w:numId w:val="1001"/>
        </w:numPr>
        <w:pStyle w:val="Compact"/>
      </w:pPr>
      <w:r>
        <w:t xml:space="preserve">Sankce jsou</w:t>
      </w:r>
      <w:r>
        <w:t xml:space="preserve"> </w:t>
      </w:r>
      <w:r>
        <w:rPr>
          <w:bCs/>
          <w:b/>
        </w:rPr>
        <w:t xml:space="preserve">procentní slevy (service credits)</w:t>
      </w:r>
      <w:r>
        <w:t xml:space="preserve"> </w:t>
      </w:r>
      <w:r>
        <w:t xml:space="preserve">z měsíčního poplatku za podporu a údržbu.</w:t>
      </w:r>
    </w:p>
    <w:bookmarkEnd w:id="20"/>
    <w:bookmarkStart w:id="21" w:name="definice-priorit-z-pohledu-banky"/>
    <w:p>
      <w:pPr>
        <w:pStyle w:val="Heading1"/>
      </w:pPr>
      <w:r>
        <w:t xml:space="preserve">2. Definice priorit z pohledu Banky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Priorita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Definice (co v Bance nefunguje)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Příklady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– Kritický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Zastaven klíčový proces a neexistuje workaround, nebo hrozí porušení sankční / AML povinnosti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Nelze dokončit onboarding v CRM; screening plateb nefunguje a platby stojí; neproběhl denní re-screening po nové designaci EU; rozhodnutí o blokaci se nepropisuje do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– Vysoký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 funguje s výrazným omezením nebo nefunguje integrace na sekundární systém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Výrazně pomalé odezvy v CRM; nefunguje export do DWH; nefunguje generování OPO, ale lze podat ručně; nefunguje předávání logů do SIEM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– Střední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Omezení jednotlivé funkce s dostupným workaroundem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Chyba v reportu; chyba jednoho scénáře monitoringu bez dopadu na ostatní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– Nízký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Kosmetická vada, dotaz, požadavek na informaci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Překlep v UI, dotaz na konfiguraci</w:t>
            </w:r>
          </w:p>
        </w:tc>
      </w:tr>
    </w:tbl>
    <w:bookmarkEnd w:id="21"/>
    <w:bookmarkStart w:id="22" w:name="dostupnost"/>
    <w:p>
      <w:pPr>
        <w:pStyle w:val="Heading1"/>
      </w:pPr>
      <w:r>
        <w:t xml:space="preserve">3. Dostupnost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Cíl: 99,9 % měsíčně</w:t>
      </w:r>
      <w:r>
        <w:t xml:space="preserve"> </w:t>
      </w:r>
      <w:r>
        <w:t xml:space="preserve">v režimu 24/7 pro screening plateb a re-screening; 99,9 % v době 6:00–22:00 pro ostatní funkce.</w:t>
      </w:r>
    </w:p>
    <w:p>
      <w:pPr>
        <w:numPr>
          <w:ilvl w:val="0"/>
          <w:numId w:val="1002"/>
        </w:numPr>
        <w:pStyle w:val="Compact"/>
      </w:pPr>
      <w:r>
        <w:t xml:space="preserve">Měří se</w:t>
      </w:r>
      <w:r>
        <w:t xml:space="preserve"> </w:t>
      </w:r>
      <w:r>
        <w:rPr>
          <w:bCs/>
          <w:b/>
        </w:rPr>
        <w:t xml:space="preserve">end-to-end syntetickými transakcemi</w:t>
      </w:r>
      <w:r>
        <w:t xml:space="preserve"> </w:t>
      </w:r>
      <w:r>
        <w:t xml:space="preserve">z monitoringu Banky, např. každých 5 minut: (a) dotaz na stav KYC testovacího klienta z CRM, (b) screening testovacího subjektu, (c) screening testovací platby. Neprojde-li transakce, běží čas nedostupnosti bez ohledu na stav infrastruktury dodavatele.</w:t>
      </w:r>
    </w:p>
    <w:p>
      <w:pPr>
        <w:numPr>
          <w:ilvl w:val="0"/>
          <w:numId w:val="1002"/>
        </w:numPr>
        <w:pStyle w:val="Compact"/>
      </w:pPr>
      <w:r>
        <w:t xml:space="preserve">Plánovaná údržba max. 4 h měsíčně, mimo 6:00–22:00, oznámená 5 pracovních dnů předem; nesmí přerušit screening plateb.</w:t>
      </w:r>
    </w:p>
    <w:bookmarkEnd w:id="22"/>
    <w:bookmarkStart w:id="23" w:name="doby-řešení-incidentů"/>
    <w:p>
      <w:pPr>
        <w:pStyle w:val="Heading1"/>
      </w:pPr>
      <w:r>
        <w:t xml:space="preserve">4. Doby řešení incidentů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Priorita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Reakce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Obnovení provozu (workaround)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Finální řešení (resolution)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Režim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pracovních dnů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pracovních dnů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pracovní hodiny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pracovní dny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nejbližší release, max. 60 dní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pracovní dny 8–18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pracovní 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dle dohody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pracovní dny 8–18</w:t>
            </w:r>
          </w:p>
        </w:tc>
      </w:tr>
    </w:tbl>
    <w:p>
      <w:pPr>
        <w:pStyle w:val="BodyText"/>
      </w:pPr>
      <w:r>
        <w:rPr>
          <w:bCs/>
          <w:b/>
        </w:rPr>
        <w:t xml:space="preserve">Bezpečnostní zranitelnosti v dodaném software:</w:t>
      </w:r>
      <w:r>
        <w:t xml:space="preserve"> </w:t>
      </w:r>
      <w:r>
        <w:t xml:space="preserve">kritické (CVSS ≥ 9,0) oprava do 5 pracovních dnů, vysoké (7,0–8,9) do 30 dnů, a to v ceně podpory (viz SEC-007 a Příloha 3, list C).</w:t>
      </w:r>
    </w:p>
    <w:bookmarkEnd w:id="23"/>
    <w:bookmarkStart w:id="24" w:name="sankce-service-credits"/>
    <w:p>
      <w:pPr>
        <w:pStyle w:val="Heading1"/>
      </w:pPr>
      <w:r>
        <w:t xml:space="preserve">5. Sankce (service credits)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Událost</w:t>
            </w:r>
          </w:p>
        </w:tc>
        <w:tc>
          <w:tcPr>
            <w:shd w:val="clear" w:fill="DDEBF7"/>
          </w:tcPr>
          <w:p>
            <w:pPr>
              <w:pStyle w:val="Compact"/>
              <w:jc w:val="left"/>
            </w:pPr>
            <w:r>
              <w:t xml:space="preserve">Sleva z měsíčního poplatku za podporu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Dostupnost pod 99,9 %, za každých započatých 0,1 %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P1: překročení doby obnovení provozu – 1. započatá hodina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P1: každá další započatá hodina (eskalační koeficient)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+5 % (2. hodina 10 %, 3. hodina 15 %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P2: překročení doby obnovení provozu, za každé započaté 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P1/P2: překročení doby finálního řešení, za každý pracovní 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Nedodání RCA v termínu, za každý pracovní 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Strop sankcí:</w:t>
      </w:r>
      <w:r>
        <w:t xml:space="preserve"> </w:t>
      </w:r>
      <w:r>
        <w:t xml:space="preserve">30 % ročního poplatku za podporu a údržbu. Sankce nevylučují nárok na náhradu škody nad jejich rámec.</w:t>
      </w:r>
    </w:p>
    <w:bookmarkEnd w:id="24"/>
    <w:bookmarkStart w:id="25" w:name="analýza-příčin-rca"/>
    <w:p>
      <w:pPr>
        <w:pStyle w:val="Heading1"/>
      </w:pPr>
      <w:r>
        <w:t xml:space="preserve">6. Analýza příčin (RCA)</w:t>
      </w:r>
    </w:p>
    <w:p>
      <w:pPr>
        <w:pStyle w:val="FirstParagraph"/>
      </w:pPr>
      <w:r>
        <w:t xml:space="preserve">U každého incidentu P1 a P2 dodá dodavatel do</w:t>
      </w:r>
      <w:r>
        <w:t xml:space="preserve"> </w:t>
      </w:r>
      <w:r>
        <w:rPr>
          <w:bCs/>
          <w:b/>
        </w:rPr>
        <w:t xml:space="preserve">3 pracovních dnů (P1)</w:t>
      </w:r>
      <w:r>
        <w:t xml:space="preserve">, resp.</w:t>
      </w:r>
      <w:r>
        <w:t xml:space="preserve"> </w:t>
      </w:r>
      <w:r>
        <w:rPr>
          <w:bCs/>
          <w:b/>
        </w:rPr>
        <w:t xml:space="preserve">5 pracovních dnů (P2)</w:t>
      </w:r>
      <w:r>
        <w:t xml:space="preserve"> </w:t>
      </w:r>
      <w:r>
        <w:t xml:space="preserve">písemnou analýzu příčin: časovou osu, příčinu, dopad, provedená opatření a závazný plán trvalého odstranění s termíny. Opakovaný incident se stejnou příčinou do 90 dnů je automaticky P1.</w:t>
      </w:r>
    </w:p>
    <w:bookmarkEnd w:id="25"/>
    <w:bookmarkStart w:id="26" w:name="podpora-při-incidentech-podle-dora"/>
    <w:p>
      <w:pPr>
        <w:pStyle w:val="Heading1"/>
      </w:pPr>
      <w:r>
        <w:t xml:space="preserve">7. Podpora při incidentech podle DORA</w:t>
      </w:r>
    </w:p>
    <w:p>
      <w:pPr>
        <w:pStyle w:val="FirstParagraph"/>
      </w:pPr>
      <w:r>
        <w:t xml:space="preserve">Dodavatel oznámí Bance každý incident, který může ovlivnit službu,</w:t>
      </w:r>
      <w:r>
        <w:t xml:space="preserve"> </w:t>
      </w:r>
      <w:r>
        <w:rPr>
          <w:bCs/>
          <w:b/>
        </w:rPr>
        <w:t xml:space="preserve">bez zbytečného odkladu, nejpozději do 1 hodiny</w:t>
      </w:r>
      <w:r>
        <w:t xml:space="preserve"> </w:t>
      </w:r>
      <w:r>
        <w:t xml:space="preserve">od zjištění, a poskytne informace potřebné pro klasifikaci a oznámení závažného incidentu ČNB ve lhůtách podle DORA a navazujících technických norem. Dodavatel se účastní testů kontinuity a obnovy Banky.</w:t>
      </w:r>
    </w:p>
    <w:bookmarkEnd w:id="26"/>
    <w:bookmarkStart w:id="27" w:name="reporting"/>
    <w:p>
      <w:pPr>
        <w:pStyle w:val="Heading1"/>
      </w:pPr>
      <w:r>
        <w:t xml:space="preserve">8. Reporting</w:t>
      </w:r>
    </w:p>
    <w:p>
      <w:pPr>
        <w:pStyle w:val="FirstParagraph"/>
      </w:pPr>
      <w:r>
        <w:t xml:space="preserve">Měsíční report do 5. pracovního dne: dostupnost dle syntetických transakcí, incidenty podle priorit a dodržení lhůt, uplatněné sankce, otevřené zranitelnosti, kapacitní trendy. Čtvrtletní service review s Bankou.</w:t>
      </w:r>
    </w:p>
    <w:bookmarkEnd w:id="27"/>
    <w:bookmarkStart w:id="28" w:name="právo-na-odstoupení"/>
    <w:p>
      <w:pPr>
        <w:pStyle w:val="Heading1"/>
      </w:pPr>
      <w:r>
        <w:t xml:space="preserve">9. Právo na odstoupení</w:t>
      </w:r>
    </w:p>
    <w:p>
      <w:pPr>
        <w:pStyle w:val="FirstParagraph"/>
      </w:pPr>
      <w:r>
        <w:t xml:space="preserve">Klesne-li měsíční dostupnost pod</w:t>
      </w:r>
      <w:r>
        <w:t xml:space="preserve"> </w:t>
      </w:r>
      <w:r>
        <w:rPr>
          <w:bCs/>
          <w:b/>
        </w:rPr>
        <w:t xml:space="preserve">95 %</w:t>
      </w:r>
      <w:r>
        <w:t xml:space="preserve"> </w:t>
      </w:r>
      <w:r>
        <w:t xml:space="preserve">ve třech měsících během 12 po sobě jdoucích měsíců, nebo nastanou-li v tomto období tři incidenty P1 s překročením doby obnovení o více než 100 %, je Banka oprávněna od smlouvy odstoupit pro podstatné porušení a požadovat náhradu nákladů exitu a migrace k jinému dodavateli. Dodavatel je i v tomto případě povinen poskytnout exitovou součinnost dle Přílohy 5.</w:t>
      </w:r>
    </w:p>
    <w:bookmarkEnd w:id="28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Horizont Privátní banka, a.s. · Projekt SENTINEL · FIKTIVNÍ CVIČNÝ DOKUMENT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Calibri"/>
      <w:b/>
    </w:rPr>
  </w:style>
  <w:style w:customStyle="1" w:styleId="Definition" w:type="paragraph">
    <w:name w:val="Definition"/>
    <w:basedOn w:val="Normal"/>
    <w:rPr>
      <w:rFonts w:ascii="Calibri" w:hAnsi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Calibri"/>
    </w:rPr>
  </w:style>
  <w:style w:customStyle="1" w:styleId="ImageCaption" w:type="paragraph">
    <w:name w:val="Image Caption"/>
    <w:basedOn w:val="Caption"/>
    <w:rPr>
      <w:rFonts w:ascii="Calibri" w:hAnsi="Calibri" w:eastAsia="Calibri"/>
    </w:rPr>
  </w:style>
  <w:style w:customStyle="1" w:styleId="Figure" w:type="paragraph">
    <w:name w:val="Figure"/>
    <w:basedOn w:val="Normal"/>
    <w:rPr>
      <w:rFonts w:ascii="Calibri" w:hAnsi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Příloha 4 – Požadavky na úroveň služeb (SLA)</dc:title>
  <dc:creator/>
  <cp:keywords/>
  <dcterms:created xsi:type="dcterms:W3CDTF">2026-10-06T09:48:55Z</dcterms:created>
  <dcterms:modified xsi:type="dcterms:W3CDTF">2026-10-06T09:48:55Z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2. 11. 2026</vt:lpwstr>
  </property>
  <property fmtid="{D5CDD505-2E9C-101B-9397-08002B2CF9AE}" pid="3" name="subtitle">
    <vt:lpwstr>Výběrové řízení SENTINEL – KYC/AML řešení · Horizont Privátní banka, a.s.</vt:lpwstr>
  </property>
</Properties>
</file>