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Příloha</w:t>
      </w:r>
      <w:r>
        <w:t xml:space="preserve"> </w:t>
      </w:r>
      <w:r>
        <w:t xml:space="preserve">5</w:t>
      </w:r>
      <w:r>
        <w:t xml:space="preserve"> </w:t>
      </w:r>
      <w:r>
        <w:t xml:space="preserve">–</w:t>
      </w:r>
      <w:r>
        <w:t xml:space="preserve"> </w:t>
      </w:r>
      <w:r>
        <w:t xml:space="preserve">Klíčové</w:t>
      </w:r>
      <w:r>
        <w:t xml:space="preserve"> </w:t>
      </w:r>
      <w:r>
        <w:t xml:space="preserve">smluvní</w:t>
      </w:r>
      <w:r>
        <w:t xml:space="preserve"> </w:t>
      </w:r>
      <w:r>
        <w:t xml:space="preserve">požadavky</w:t>
      </w:r>
    </w:p>
    <w:p>
      <w:pPr>
        <w:pStyle w:val="Subtitle"/>
      </w:pPr>
      <w:r>
        <w:t xml:space="preserve">Výběrové</w:t>
      </w:r>
      <w:r>
        <w:t xml:space="preserve"> </w:t>
      </w:r>
      <w:r>
        <w:t xml:space="preserve">řízení</w:t>
      </w:r>
      <w:r>
        <w:t xml:space="preserve"> </w:t>
      </w:r>
      <w:r>
        <w:t xml:space="preserve">SENTINEL</w:t>
      </w:r>
      <w:r>
        <w:t xml:space="preserve"> </w:t>
      </w:r>
      <w:r>
        <w:t xml:space="preserve">–</w:t>
      </w:r>
      <w:r>
        <w:t xml:space="preserve"> </w:t>
      </w:r>
      <w:r>
        <w:t xml:space="preserve">KYC/AML</w:t>
      </w:r>
      <w:r>
        <w:t xml:space="preserve"> </w:t>
      </w:r>
      <w:r>
        <w:t xml:space="preserve">řešení</w:t>
      </w:r>
      <w:r>
        <w:t xml:space="preserve"> </w:t>
      </w:r>
      <w:r>
        <w:t xml:space="preserve">·</w:t>
      </w:r>
      <w:r>
        <w:t xml:space="preserve"> </w:t>
      </w:r>
      <w:r>
        <w:t xml:space="preserve">Horizont</w:t>
      </w:r>
      <w:r>
        <w:t xml:space="preserve"> </w:t>
      </w:r>
      <w:r>
        <w:t xml:space="preserve">Privátní</w:t>
      </w:r>
      <w:r>
        <w:t xml:space="preserve"> </w:t>
      </w:r>
      <w:r>
        <w:t xml:space="preserve">banka,</w:t>
      </w:r>
      <w:r>
        <w:t xml:space="preserve"> </w:t>
      </w:r>
      <w:r>
        <w:t xml:space="preserve">a.s.</w:t>
      </w:r>
    </w:p>
    <w:p>
      <w:pPr>
        <w:pStyle w:val="Date"/>
      </w:pPr>
      <w:r>
        <w:t xml:space="preserve">2.</w:t>
      </w:r>
      <w:r>
        <w:t xml:space="preserve"> </w:t>
      </w:r>
      <w:r>
        <w:t xml:space="preserve">11.</w:t>
      </w:r>
      <w:r>
        <w:t xml:space="preserve"> </w:t>
      </w:r>
      <w:r>
        <w:t xml:space="preserve">2026</w:t>
      </w:r>
    </w:p>
    <w:p>
      <w:pPr>
        <w:pStyle w:val="BlockText"/>
      </w:pPr>
      <w:r>
        <w:rPr>
          <w:bCs/>
          <w:b/>
        </w:rPr>
        <w:t xml:space="preserve">Fiktivní cvičný dokument.</w:t>
      </w:r>
      <w:r>
        <w:t xml:space="preserve"> </w:t>
      </w:r>
      <w:r>
        <w:t xml:space="preserve">Uchazeč u každého bodu uvede v Matici shody (oblast LEG a REG-001) Akceptuje / Akceptuje s výhradou / Neakceptuje; výhrady zapíše v revizích do tohoto dokumentu. Body označené</w:t>
      </w:r>
      <w:r>
        <w:t xml:space="preserve"> </w:t>
      </w:r>
      <w:r>
        <w:rPr>
          <w:bCs/>
          <w:b/>
        </w:rPr>
        <w:t xml:space="preserve">K.O.</w:t>
      </w:r>
      <w:r>
        <w:t xml:space="preserve"> </w:t>
      </w:r>
      <w:r>
        <w:t xml:space="preserve">nelze odmítnout.</w:t>
      </w:r>
    </w:p>
    <w:bookmarkStart w:id="20" w:name="smluvní-dokumentace"/>
    <w:p>
      <w:pPr>
        <w:pStyle w:val="Heading1"/>
      </w:pPr>
      <w:r>
        <w:t xml:space="preserve">1. Smluvní dokumentace</w:t>
      </w:r>
    </w:p>
    <w:p>
      <w:pPr>
        <w:pStyle w:val="FirstParagraph"/>
      </w:pPr>
      <w:r>
        <w:t xml:space="preserve">Rámcová smlouva o dodávce, implementaci a podpoře software; licenční ujednání; smlouva o zpracování osobních údajů (vzor Banky); SLA (Příloha 4); exitový plán. Smlouva se řídí</w:t>
      </w:r>
      <w:r>
        <w:t xml:space="preserve"> </w:t>
      </w:r>
      <w:r>
        <w:rPr>
          <w:bCs/>
          <w:b/>
        </w:rPr>
        <w:t xml:space="preserve">českým právem</w:t>
      </w:r>
      <w:r>
        <w:t xml:space="preserve">, spory řeší obecné soudy ČR (LEG-009).</w:t>
      </w:r>
    </w:p>
    <w:bookmarkEnd w:id="20"/>
    <w:bookmarkStart w:id="21" w:name="X86a5e44596b91bf8638be3630611a869fe3f0c6"/>
    <w:p>
      <w:pPr>
        <w:pStyle w:val="Heading1"/>
      </w:pPr>
      <w:r>
        <w:t xml:space="preserve">2. Ujednání podle DORA (čl. 30 nařízení (EU) 2022/2554) – K.O. (REG-001)</w:t>
      </w:r>
    </w:p>
    <w:p>
      <w:pPr>
        <w:pStyle w:val="FirstParagraph"/>
      </w:pPr>
      <w:r>
        <w:t xml:space="preserve">Protože služba podporuje kritickou nebo důležitou funkci, smlouva obsahuje zejména:</w:t>
      </w:r>
    </w:p>
    <w:p>
      <w:pPr>
        <w:numPr>
          <w:ilvl w:val="0"/>
          <w:numId w:val="1001"/>
        </w:numPr>
        <w:pStyle w:val="Compact"/>
      </w:pPr>
      <w:r>
        <w:t xml:space="preserve">jasný a úplný popis všech služeb a úrovní služeb s přesnými kvantitativními a kvalitativními cíli (Příloha 4);</w:t>
      </w:r>
    </w:p>
    <w:p>
      <w:pPr>
        <w:numPr>
          <w:ilvl w:val="0"/>
          <w:numId w:val="1001"/>
        </w:numPr>
        <w:pStyle w:val="Compact"/>
      </w:pPr>
      <w:r>
        <w:t xml:space="preserve">lokality (země), kde jsou služby poskytovány a data zpracovávána a uchovávána, a povinnost předem oznámit jejich změnu;</w:t>
      </w:r>
    </w:p>
    <w:p>
      <w:pPr>
        <w:numPr>
          <w:ilvl w:val="0"/>
          <w:numId w:val="1001"/>
        </w:numPr>
        <w:pStyle w:val="Compact"/>
      </w:pPr>
      <w:r>
        <w:t xml:space="preserve">ustanovení o dostupnosti, autenticitě, integritě a důvěrnosti dat a o přístupu k datům, jejich obnově a vrácení při ukončení či insolvenci dodavatele;</w:t>
      </w:r>
    </w:p>
    <w:p>
      <w:pPr>
        <w:numPr>
          <w:ilvl w:val="0"/>
          <w:numId w:val="1001"/>
        </w:numPr>
        <w:pStyle w:val="Compact"/>
      </w:pPr>
      <w:r>
        <w:t xml:space="preserve">pomoc při ICT incidentu bez dalších nákladů nebo za předem stanovenou cenu;</w:t>
      </w:r>
    </w:p>
    <w:p>
      <w:pPr>
        <w:numPr>
          <w:ilvl w:val="0"/>
          <w:numId w:val="1001"/>
        </w:numPr>
        <w:pStyle w:val="Compact"/>
      </w:pPr>
      <w:r>
        <w:t xml:space="preserve">povinnost spolupracovat s ČNB a dalšími orgány dohledu;</w:t>
      </w:r>
    </w:p>
    <w:p>
      <w:pPr>
        <w:numPr>
          <w:ilvl w:val="0"/>
          <w:numId w:val="1001"/>
        </w:numPr>
        <w:pStyle w:val="Compact"/>
      </w:pPr>
      <w:r>
        <w:t xml:space="preserve">práva na ukončení smlouvy a minimální výpovědní lhůty v souladu s očekáváními orgánů dohledu;</w:t>
      </w:r>
    </w:p>
    <w:p>
      <w:pPr>
        <w:numPr>
          <w:ilvl w:val="0"/>
          <w:numId w:val="1001"/>
        </w:numPr>
        <w:pStyle w:val="Compact"/>
      </w:pPr>
      <w:r>
        <w:t xml:space="preserve">podmínky účasti na programech povědomí o bezpečnosti ICT a na testování digitální provozní odolnosti včetně TLPT;</w:t>
      </w:r>
    </w:p>
    <w:p>
      <w:pPr>
        <w:numPr>
          <w:ilvl w:val="0"/>
          <w:numId w:val="1001"/>
        </w:numPr>
        <w:pStyle w:val="Compact"/>
      </w:pPr>
      <w:r>
        <w:t xml:space="preserve">neomezená práva přístupu, inspekce a auditu pro Banku, auditora pověřeného Bankou a orgány dohledu (LEG-004);</w:t>
      </w:r>
    </w:p>
    <w:p>
      <w:pPr>
        <w:numPr>
          <w:ilvl w:val="0"/>
          <w:numId w:val="1001"/>
        </w:numPr>
        <w:pStyle w:val="Compact"/>
      </w:pPr>
      <w:r>
        <w:t xml:space="preserve">povinnost provádět a testovat plány kontinuity činnosti;</w:t>
      </w:r>
    </w:p>
    <w:p>
      <w:pPr>
        <w:numPr>
          <w:ilvl w:val="0"/>
          <w:numId w:val="1001"/>
        </w:numPr>
        <w:pStyle w:val="Compact"/>
      </w:pPr>
      <w:r>
        <w:t xml:space="preserve">povinnou exitovou strategii s přiměřeným přechodným obdobím (kap. 6);</w:t>
      </w:r>
    </w:p>
    <w:p>
      <w:pPr>
        <w:numPr>
          <w:ilvl w:val="0"/>
          <w:numId w:val="1001"/>
        </w:numPr>
        <w:pStyle w:val="Compact"/>
      </w:pPr>
      <w:r>
        <w:t xml:space="preserve">podmínky subdodávek podle nařízení v přenesené pravomoci (EU) 2025/532 (kap. 4).</w:t>
      </w:r>
    </w:p>
    <w:p>
      <w:pPr>
        <w:pStyle w:val="FirstParagraph"/>
      </w:pPr>
      <w:r>
        <w:t xml:space="preserve">Uchazeč poskytne údaje pro registr informací Banky (čl. 28 odst. 3 DORA) a součinnost při informování ČNB o plánovaném ujednání.</w:t>
      </w:r>
    </w:p>
    <w:bookmarkEnd w:id="21"/>
    <w:bookmarkStart w:id="22" w:name="X04f2f32f8c116a3d9411754f13628afd9d36560"/>
    <w:p>
      <w:pPr>
        <w:pStyle w:val="Heading1"/>
      </w:pPr>
      <w:r>
        <w:t xml:space="preserve">3. Ochrana osobních údajů a bankovní tajemství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K.O. (LEG-001):</w:t>
      </w:r>
      <w:r>
        <w:t xml:space="preserve"> </w:t>
      </w:r>
      <w:r>
        <w:t xml:space="preserve">zpracování výhradně v EU/EHP; jakýkoli přístup z třetích zemí včetně vzdálené podpory jen s předchozím písemným souhlasem Banky a při splnění kapitoly V GDPR.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K.O. (LEG-002):</w:t>
      </w:r>
      <w:r>
        <w:t xml:space="preserve"> </w:t>
      </w:r>
      <w:r>
        <w:t xml:space="preserve">smlouva o zpracování dle čl. 28 GDPR na vzoru Banky; seznam technických a organizačních opatření.</w:t>
      </w:r>
    </w:p>
    <w:p>
      <w:pPr>
        <w:numPr>
          <w:ilvl w:val="0"/>
          <w:numId w:val="1002"/>
        </w:numPr>
        <w:pStyle w:val="Compact"/>
      </w:pPr>
      <w:r>
        <w:t xml:space="preserve">Součinnost při DPIA do 30 dnů od podpisu (REG-004); oznámení porušení zabezpečení osobních údajů Bance do 24 hodin.</w:t>
      </w:r>
    </w:p>
    <w:p>
      <w:pPr>
        <w:numPr>
          <w:ilvl w:val="0"/>
          <w:numId w:val="1002"/>
        </w:numPr>
        <w:pStyle w:val="Compact"/>
      </w:pPr>
      <w:r>
        <w:t xml:space="preserve">Mlčenlivost o skutečnostech podléhajících bankovnímu tajemství (§ 38 zákona č. 21/1992 Sb.) – individuální závazky všech osob s přístupem (LEG-003); trvá i po skončení smlouvy.</w:t>
      </w:r>
    </w:p>
    <w:p>
      <w:pPr>
        <w:numPr>
          <w:ilvl w:val="0"/>
          <w:numId w:val="1002"/>
        </w:numPr>
        <w:pStyle w:val="Compact"/>
      </w:pPr>
      <w:r>
        <w:t xml:space="preserve">Informace o oznámeních podezřelých obchodů a o šetření FAÚ nesmí dodavatel sdělit třetím osobám (zákaz tipping-off podle AML zákona).</w:t>
      </w:r>
    </w:p>
    <w:bookmarkEnd w:id="22"/>
    <w:bookmarkStart w:id="23" w:name="subdodavatelé-leg-005"/>
    <w:p>
      <w:pPr>
        <w:pStyle w:val="Heading1"/>
      </w:pPr>
      <w:r>
        <w:t xml:space="preserve">4. Subdodavatelé (LEG-005)</w:t>
      </w:r>
    </w:p>
    <w:p>
      <w:pPr>
        <w:pStyle w:val="FirstParagraph"/>
      </w:pPr>
      <w:r>
        <w:t xml:space="preserve">Seznam všech subdodavatelů v nabídce (název, země, rozsah). Subdodávka části kritické funkce jen s předchozím písemným souhlasem Banky; dodavatel odpovídá za subdodavatele jako za sebe a přenáší na ně povinnosti této přílohy včetně práva auditu. Banka má právo smlouvu ukončit při změně subdodavatele, se kterou nesouhlasí.</w:t>
      </w:r>
    </w:p>
    <w:bookmarkEnd w:id="23"/>
    <w:bookmarkStart w:id="24" w:name="duševní-vlastnictví"/>
    <w:p>
      <w:pPr>
        <w:pStyle w:val="Heading1"/>
      </w:pPr>
      <w:r>
        <w:t xml:space="preserve">5. Duševní vlastnictví</w:t>
      </w:r>
    </w:p>
    <w:p>
      <w:pPr>
        <w:pStyle w:val="FirstParagraph"/>
      </w:pPr>
      <w:r>
        <w:t xml:space="preserve">Konfigurace, scénáře, rizikové modely a dokumentace vytvořené pro Banku jsou ve vlastnictví Banky nebo k nim má Banka výhradní, časově neomezenou licenci. Custom vývoj: zdrojový kód v úschově (escrow) s aktualizací při každém releasu (LEG-007).</w:t>
      </w:r>
    </w:p>
    <w:bookmarkEnd w:id="24"/>
    <w:bookmarkStart w:id="25" w:name="exit-leg-006"/>
    <w:p>
      <w:pPr>
        <w:pStyle w:val="Heading1"/>
      </w:pPr>
      <w:r>
        <w:t xml:space="preserve">6. Exit (LEG-006)</w:t>
      </w:r>
    </w:p>
    <w:p>
      <w:pPr>
        <w:numPr>
          <w:ilvl w:val="0"/>
          <w:numId w:val="1003"/>
        </w:numPr>
        <w:pStyle w:val="Compact"/>
      </w:pPr>
      <w:r>
        <w:t xml:space="preserve">Exitová součinnost</w:t>
      </w:r>
      <w:r>
        <w:t xml:space="preserve"> </w:t>
      </w:r>
      <w:r>
        <w:rPr>
          <w:bCs/>
          <w:b/>
        </w:rPr>
        <w:t xml:space="preserve">min. 12 měsíců</w:t>
      </w:r>
      <w:r>
        <w:t xml:space="preserve"> </w:t>
      </w:r>
      <w:r>
        <w:t xml:space="preserve">od výpovědi nebo jiného ukončení, za ceny z rate card; export a dokumentace dat bez dalších poplatků.</w:t>
      </w:r>
    </w:p>
    <w:p>
      <w:pPr>
        <w:numPr>
          <w:ilvl w:val="0"/>
          <w:numId w:val="1003"/>
        </w:numPr>
        <w:pStyle w:val="Compact"/>
      </w:pPr>
      <w:r>
        <w:t xml:space="preserve">Export všech dat (klienti, rizikové profily, historie screeningu, alerty, případy, auditní stopy, konfigurace) v otevřeném strojově čitelném formátu s popisem datového modelu.</w:t>
      </w:r>
    </w:p>
    <w:p>
      <w:pPr>
        <w:numPr>
          <w:ilvl w:val="0"/>
          <w:numId w:val="1003"/>
        </w:numPr>
        <w:pStyle w:val="Compact"/>
      </w:pPr>
      <w:r>
        <w:t xml:space="preserve">Přechodné období provozu licencí min. 6 měsíců za ceny z Přílohy 3, list E.</w:t>
      </w:r>
    </w:p>
    <w:p>
      <w:pPr>
        <w:numPr>
          <w:ilvl w:val="0"/>
          <w:numId w:val="1003"/>
        </w:numPr>
        <w:pStyle w:val="Compact"/>
      </w:pPr>
      <w:r>
        <w:t xml:space="preserve">Exitový plán je součástí FS (kap. 10), dodavatel ho aktualizuje min. 1× ročně a Banka ho testuje.</w:t>
      </w:r>
    </w:p>
    <w:bookmarkEnd w:id="25"/>
    <w:bookmarkStart w:id="26" w:name="cena-a-platební-podmínky"/>
    <w:p>
      <w:pPr>
        <w:pStyle w:val="Heading1"/>
      </w:pPr>
      <w:r>
        <w:t xml:space="preserve">7. Cena a platební podmínky</w:t>
      </w:r>
    </w:p>
    <w:p>
      <w:pPr>
        <w:numPr>
          <w:ilvl w:val="0"/>
          <w:numId w:val="1004"/>
        </w:numPr>
        <w:pStyle w:val="Compact"/>
      </w:pPr>
      <w:r>
        <w:t xml:space="preserve">Ceny dle Přílohy 3 jsou pevné; indexace sazeb max. o míru inflace vyhlášenou ČSÚ,</w:t>
      </w:r>
      <w:r>
        <w:t xml:space="preserve"> </w:t>
      </w:r>
      <w:r>
        <w:rPr>
          <w:bCs/>
          <w:b/>
        </w:rPr>
        <w:t xml:space="preserve">nejvýše 5 % ročně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Platby za implementaci podle akceptovaných milníků; 15 % ceny implementace se hradí po úspěšném ukončení hypercare.</w:t>
      </w:r>
    </w:p>
    <w:p>
      <w:pPr>
        <w:numPr>
          <w:ilvl w:val="0"/>
          <w:numId w:val="1004"/>
        </w:numPr>
        <w:pStyle w:val="Compact"/>
      </w:pPr>
      <w:r>
        <w:t xml:space="preserve">Legislativní údržba a oprava zranitelností jsou zahrnuty v poplatku za podporu (REG-002, SEC-007).</w:t>
      </w:r>
    </w:p>
    <w:bookmarkEnd w:id="26"/>
    <w:bookmarkStart w:id="27" w:name="odpovědnost-a-pojištění"/>
    <w:p>
      <w:pPr>
        <w:pStyle w:val="Heading1"/>
      </w:pPr>
      <w:r>
        <w:t xml:space="preserve">8. Odpovědnost a pojištění</w:t>
      </w:r>
    </w:p>
    <w:p>
      <w:pPr>
        <w:numPr>
          <w:ilvl w:val="0"/>
          <w:numId w:val="1005"/>
        </w:numPr>
        <w:pStyle w:val="Compact"/>
      </w:pPr>
      <w:r>
        <w:t xml:space="preserve">Limit odpovědnosti min.</w:t>
      </w:r>
      <w:r>
        <w:t xml:space="preserve"> </w:t>
      </w:r>
      <w:r>
        <w:rPr>
          <w:bCs/>
          <w:b/>
        </w:rPr>
        <w:t xml:space="preserve">200 % ročních plateb</w:t>
      </w:r>
      <w:r>
        <w:t xml:space="preserve"> </w:t>
      </w:r>
      <w:r>
        <w:t xml:space="preserve">(LEG-008, vyjednatelné v BAFO); bez limitu u porušení mlčenlivosti, ochrany osobních údajů, bankovního tajemství, úmyslu a hrubé nedbalosti.</w:t>
      </w:r>
    </w:p>
    <w:p>
      <w:pPr>
        <w:numPr>
          <w:ilvl w:val="0"/>
          <w:numId w:val="1005"/>
        </w:numPr>
        <w:pStyle w:val="Compact"/>
      </w:pPr>
      <w:r>
        <w:t xml:space="preserve">Pojištění odpovědnosti s limitem min.</w:t>
      </w:r>
      <w:r>
        <w:t xml:space="preserve"> </w:t>
      </w:r>
      <w:r>
        <w:rPr>
          <w:bCs/>
          <w:b/>
        </w:rPr>
        <w:t xml:space="preserve">50 mil. Kč</w:t>
      </w:r>
      <w:r>
        <w:t xml:space="preserve"> </w:t>
      </w:r>
      <w:r>
        <w:t xml:space="preserve">po celou dobu smlouvy (LEG-010).</w:t>
      </w:r>
    </w:p>
    <w:bookmarkEnd w:id="27"/>
    <w:bookmarkStart w:id="28" w:name="ukončení"/>
    <w:p>
      <w:pPr>
        <w:pStyle w:val="Heading1"/>
      </w:pPr>
      <w:r>
        <w:t xml:space="preserve">9. Ukončení</w:t>
      </w:r>
    </w:p>
    <w:p>
      <w:pPr>
        <w:pStyle w:val="FirstParagraph"/>
      </w:pPr>
      <w:r>
        <w:t xml:space="preserve">Banka může smlouvu vypovědět bez udání důvodu s výpovědní lhůtou 6 měsíců, odstoupit při podstatném porušení (včetně kap. 9 Přílohy 4), na pokyn orgánu dohledu, při změně vlastnické struktury dodavatele, která představuje riziko, nebo pokud se dodavatel stane subjektem mezinárodních sankcí. Dodavatel může vypovědět nejdříve po 5 letech s výpovědní lhůtou 18 měsíců.</w:t>
      </w:r>
    </w:p>
    <w:bookmarkEnd w:id="28"/>
    <w:sectPr>
      <w:head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Horizont Privátní banka, a.s. · Projekt SENTINEL · FIKTIVNÍ CVIČNÝ DOKUMENT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eastAsia="Calibri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Calibr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eastAsia="Calibri"/>
      <w:b/>
      <w:bCs/>
      <w:color w:val="1F3864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eastAsia="Calibri"/>
      <w:b/>
    </w:rPr>
  </w:style>
  <w:style w:customStyle="1" w:styleId="Definition" w:type="paragraph">
    <w:name w:val="Definition"/>
    <w:basedOn w:val="Normal"/>
    <w:rPr>
      <w:rFonts w:ascii="Calibri" w:hAnsi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eastAsia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eastAsia="Calibri"/>
    </w:rPr>
  </w:style>
  <w:style w:customStyle="1" w:styleId="ImageCaption" w:type="paragraph">
    <w:name w:val="Image Caption"/>
    <w:basedOn w:val="Caption"/>
    <w:rPr>
      <w:rFonts w:ascii="Calibri" w:hAnsi="Calibri" w:eastAsia="Calibri"/>
    </w:rPr>
  </w:style>
  <w:style w:customStyle="1" w:styleId="Figure" w:type="paragraph">
    <w:name w:val="Figure"/>
    <w:basedOn w:val="Normal"/>
    <w:rPr>
      <w:rFonts w:ascii="Calibri" w:hAnsi="Calibri" w:eastAsia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Příloha 5 – Klíčové smluvní požadavky</dc:title>
  <dc:creator/>
  <cp:keywords/>
  <dcterms:created xsi:type="dcterms:W3CDTF">2026-10-06T09:48:55Z</dcterms:created>
  <dcterms:modified xsi:type="dcterms:W3CDTF">2026-10-06T09:48:55Z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2. 11. 2026</vt:lpwstr>
  </property>
  <property fmtid="{D5CDD505-2E9C-101B-9397-08002B2CF9AE}" pid="3" name="subtitle">
    <vt:lpwstr>Výběrové řízení SENTINEL – KYC/AML řešení · Horizont Privátní banka, a.s.</vt:lpwstr>
  </property>
</Properties>
</file>