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Hodnoticí</w:t>
      </w:r>
      <w:r>
        <w:t xml:space="preserve"> </w:t>
      </w:r>
      <w:r>
        <w:t xml:space="preserve">metodika</w:t>
      </w:r>
      <w:r>
        <w:t xml:space="preserve"> </w:t>
      </w:r>
      <w:r>
        <w:t xml:space="preserve">výběrového</w:t>
      </w:r>
      <w:r>
        <w:t xml:space="preserve"> </w:t>
      </w:r>
      <w:r>
        <w:t xml:space="preserve">řízení</w:t>
      </w:r>
      <w:r>
        <w:t xml:space="preserve"> </w:t>
      </w:r>
      <w:r>
        <w:t xml:space="preserve">SENTINEL</w:t>
      </w:r>
    </w:p>
    <w:p>
      <w:pPr>
        <w:pStyle w:val="Subtitle"/>
      </w:pPr>
      <w:r>
        <w:t xml:space="preserve">Horizont</w:t>
      </w:r>
      <w:r>
        <w:t xml:space="preserve"> </w:t>
      </w:r>
      <w:r>
        <w:t xml:space="preserve">Privátní</w:t>
      </w:r>
      <w:r>
        <w:t xml:space="preserve"> </w:t>
      </w:r>
      <w:r>
        <w:t xml:space="preserve">banka,</w:t>
      </w:r>
      <w:r>
        <w:t xml:space="preserve"> </w:t>
      </w:r>
      <w:r>
        <w:t xml:space="preserve">a.s.</w:t>
      </w:r>
      <w:r>
        <w:t xml:space="preserve"> </w:t>
      </w:r>
      <w:r>
        <w:t xml:space="preserve">·</w:t>
      </w:r>
      <w:r>
        <w:t xml:space="preserve"> </w:t>
      </w:r>
      <w:r>
        <w:t xml:space="preserve">Interní</w:t>
      </w:r>
      <w:r>
        <w:t xml:space="preserve"> </w:t>
      </w:r>
      <w:r>
        <w:t xml:space="preserve">·</w:t>
      </w:r>
      <w:r>
        <w:t xml:space="preserve"> </w:t>
      </w:r>
      <w:r>
        <w:t xml:space="preserve">schváleno</w:t>
      </w:r>
      <w:r>
        <w:t xml:space="preserve"> </w:t>
      </w:r>
      <w:r>
        <w:t xml:space="preserve">SteerCo</w:t>
      </w:r>
      <w:r>
        <w:t xml:space="preserve"> </w:t>
      </w:r>
      <w:r>
        <w:t xml:space="preserve">23.</w:t>
      </w:r>
      <w:r>
        <w:t xml:space="preserve"> </w:t>
      </w:r>
      <w:r>
        <w:t xml:space="preserve">9.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23.</w:t>
      </w:r>
      <w:r>
        <w:t xml:space="preserve"> </w:t>
      </w:r>
      <w:r>
        <w:t xml:space="preserve">9.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  <w:r>
        <w:t xml:space="preserve"> </w:t>
      </w:r>
      <w:r>
        <w:t xml:space="preserve">Výpočet je implementován v souboru</w:t>
      </w:r>
      <w:r>
        <w:t xml:space="preserve"> </w:t>
      </w:r>
      <w:r>
        <w:rPr>
          <w:rStyle w:val="VerbatimChar"/>
        </w:rPr>
        <w:t xml:space="preserve">11_Hodnotici_model_a_arch.xlsx</w:t>
      </w:r>
      <w:r>
        <w:t xml:space="preserve">.</w:t>
      </w:r>
    </w:p>
    <w:bookmarkStart w:id="20" w:name="účel"/>
    <w:p>
      <w:pPr>
        <w:pStyle w:val="Heading1"/>
      </w:pPr>
      <w:r>
        <w:t xml:space="preserve">1. Účel</w:t>
      </w:r>
    </w:p>
    <w:p>
      <w:pPr>
        <w:pStyle w:val="FirstParagraph"/>
      </w:pPr>
      <w:r>
        <w:t xml:space="preserve">Metodika zajišťuje, že výběr je transparentní, opakovatelný a obhajitelný před Procurementem, interním auditem a ČNB. Stojí na dvou principech:</w:t>
      </w:r>
      <w:r>
        <w:t xml:space="preserve"> </w:t>
      </w:r>
      <w:r>
        <w:rPr>
          <w:bCs/>
          <w:b/>
        </w:rPr>
        <w:t xml:space="preserve">striktní vyřazovací (K.O.) kritéria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předem schválený matematický model</w:t>
      </w:r>
      <w:r>
        <w:t xml:space="preserve">, který vyvažuje cenu (TCO) a kvalitu řešení.</w:t>
      </w:r>
    </w:p>
    <w:bookmarkEnd w:id="20"/>
    <w:bookmarkStart w:id="21" w:name="proces-hodnocení"/>
    <w:p>
      <w:pPr>
        <w:pStyle w:val="Heading1"/>
      </w:pPr>
      <w:r>
        <w:t xml:space="preserve">2. Proces hodnocení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Krok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Kdo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Výstup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Otevření nabídek (technická část)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+ předsedkyně komise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 o otevření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Formální kontrola a K.O. brána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1_KO_brana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Hodnocení Matice shody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analytička + vlastníci požadavků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2_Byznys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Hodnocení Feasibility Study (nezávisle každý člen)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Hlasující členové komise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3_Arch_Sec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Skriptované demo – ověření tvrzení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Komise + klíčoví uživatelé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Úprava sloupce „Ověřeno“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Delivery (reference, CV, SLA, plán)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4_Delivery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Otevření cenové části a výpočet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5_Cena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BAFO se 2 nejlepšími, přepočet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+ komise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Aktualizace listů 2 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Hodnoticí zpráva a podpis hodnoticího archu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Komise, sponzor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Hodnotici_arch</w:t>
            </w:r>
          </w:p>
        </w:tc>
      </w:tr>
    </w:tbl>
    <w:p>
      <w:pPr>
        <w:pStyle w:val="BodyText"/>
      </w:pPr>
      <w:r>
        <w:t xml:space="preserve">Cenová část se otevírá</w:t>
      </w:r>
      <w:r>
        <w:t xml:space="preserve"> </w:t>
      </w:r>
      <w:r>
        <w:rPr>
          <w:bCs/>
          <w:b/>
        </w:rPr>
        <w:t xml:space="preserve">až po</w:t>
      </w:r>
      <w:r>
        <w:t xml:space="preserve"> </w:t>
      </w:r>
      <w:r>
        <w:t xml:space="preserve">dokončení kroků 2–6, aby cena neovlivnila hodnocení kvality.</w:t>
      </w:r>
    </w:p>
    <w:bookmarkEnd w:id="21"/>
    <w:bookmarkStart w:id="22" w:name="k.o.-kritéria-passfail"/>
    <w:p>
      <w:pPr>
        <w:pStyle w:val="Heading1"/>
      </w:pPr>
      <w:r>
        <w:t xml:space="preserve">3. K.O. kritéria (Pass/Fail)</w:t>
      </w:r>
    </w:p>
    <w:p>
      <w:pPr>
        <w:pStyle w:val="FirstParagraph"/>
      </w:pPr>
      <w:r>
        <w:t xml:space="preserve">Za věci, které jsou pro Banku nezbytné, se body nedávají. Nesplnění jediného K.O. kritéria znamená vyřazení.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Oblast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K.O. kritéria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Regulace a bezpečnost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 sankční screening EU/OSN/ČR · SEC-001 SSO přes SAML/OIDC · REG-001 smluvní ujednání dle DORA čl. 30 · LEG-002 DPA dle čl. 28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NFR-006 on-premise / privátní cloud, data a zálohy v EU/EHP · LEG-001 zpracování a podpora jen v EU/EHP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Dodavatelské riziko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SEC-010 ISO/IEC 27001 nebo SOC 2 Type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INT-001 obousměrná integrace s CRM (core aplikace)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Formální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FORM-01 až FORM-03 (včas, NDA a čestné prohlášení, kompletní TCO)</w:t>
            </w:r>
          </w:p>
        </w:tc>
      </w:tr>
    </w:tbl>
    <w:p>
      <w:pPr>
        <w:pStyle w:val="BodyText"/>
      </w:pPr>
      <w:r>
        <w:t xml:space="preserve">Odpověď „Akceptuje s výhradou“ u K.O. smluvního kritéria vede ke stavu</w:t>
      </w:r>
      <w:r>
        <w:t xml:space="preserve"> </w:t>
      </w:r>
      <w:r>
        <w:rPr>
          <w:bCs/>
          <w:b/>
        </w:rPr>
        <w:t xml:space="preserve">K VYJASNĚNÍ</w:t>
      </w:r>
      <w:r>
        <w:t xml:space="preserve">; uchazeč musí výhradu odstranit do BAFO, jinak FAIL.</w:t>
      </w:r>
    </w:p>
    <w:bookmarkEnd w:id="22"/>
    <w:bookmarkStart w:id="23" w:name="váhový-model"/>
    <w:p>
      <w:pPr>
        <w:pStyle w:val="Heading1"/>
      </w:pPr>
      <w:r>
        <w:t xml:space="preserve">4. Váhový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Váha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Co se hodnotí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Zdroj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(TCO na 5 let)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Licence, implementace, integrace, migrace, podpora, datové zdroje, rozvoj,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Byznys funkcionality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Míra pokrytí funkcí bez složitého vývoje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1 – Matice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Architektura &amp; bezpečnost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Zapadnutí do architektury Banky, integrace, bezpečnost, migrace,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2 – 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a zkušenosti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z finančního sektoru, seniorita týmu, SLA, plán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Reference, CV, SLA</w:t>
            </w:r>
          </w:p>
        </w:tc>
      </w:tr>
    </w:tbl>
    <w:bookmarkEnd w:id="23"/>
    <w:bookmarkStart w:id="28" w:name="metodika-bodování"/>
    <w:p>
      <w:pPr>
        <w:pStyle w:val="Heading1"/>
      </w:pPr>
      <w:r>
        <w:t xml:space="preserve">5. Metodika bodování</w:t>
      </w:r>
    </w:p>
    <w:bookmarkStart w:id="24" w:name="cena"/>
    <w:p>
      <w:pPr>
        <w:pStyle w:val="Heading2"/>
      </w:pPr>
      <w:r>
        <w:t xml:space="preserve">5.1 Cena</w:t>
      </w:r>
    </w:p>
    <w:p>
      <w:pPr>
        <w:pStyle w:val="FirstParagraph"/>
      </w:pPr>
      <w:r>
        <w:rPr>
          <w:rStyle w:val="VerbatimChar"/>
        </w:rPr>
        <w:t xml:space="preserve">body = (nejnižší TCO mezi nabídkami, které prošly K.O. / hodnocené TCO) × 40</w:t>
      </w:r>
    </w:p>
    <w:p>
      <w:pPr>
        <w:pStyle w:val="BodyText"/>
      </w:pPr>
      <w:r>
        <w:t xml:space="preserve">Hodnoceným TCO je „TCO celkem za 5 let“ z listu Souhrn Přílohy 3 (nominálně, bez DPH). Nabídka se stavem „NEÚPLNÁ“ nesplní FORM-03.</w:t>
      </w:r>
    </w:p>
    <w:bookmarkEnd w:id="24"/>
    <w:bookmarkStart w:id="25" w:name="byznys-funkcionality-matice-shody"/>
    <w:p>
      <w:pPr>
        <w:pStyle w:val="Heading2"/>
      </w:pPr>
      <w:r>
        <w:t xml:space="preserve">5.2 Byznys funkcionality (Matice shody)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Odpověď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OOTB – funkce je v základu, stačí zapnout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Konfigurace – nastavení v UI bez programování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vývoj – zvyšuje technický dluh a 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 party / Nesplněno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Váha podle priority: Must 3, Should 2, Could 1. Hodnotí se požadavky oblastí KYC, SCR, TM, CAS a REP, které nejsou K.O.</w:t>
      </w:r>
    </w:p>
    <w:p>
      <w:pPr>
        <w:pStyle w:val="BodyText"/>
      </w:pPr>
      <w:r>
        <w:rPr>
          <w:rStyle w:val="VerbatimChar"/>
        </w:rPr>
        <w:t xml:space="preserve">pokrytí = Σ(uznané body × váha) / Σ(5 × váha)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body = pokrytí × 30</w:t>
      </w:r>
    </w:p>
    <w:p>
      <w:pPr>
        <w:pStyle w:val="BodyText"/>
      </w:pPr>
      <w:r>
        <w:rPr>
          <w:bCs/>
          <w:b/>
        </w:rPr>
        <w:t xml:space="preserve">Pravidlo křížové kontroly:</w:t>
      </w:r>
      <w:r>
        <w:t xml:space="preserve"> </w:t>
      </w:r>
      <w:r>
        <w:t xml:space="preserve">uznané body = 0, pokud u odpovědi OOTB, Konfigurace nebo Custom vývoj chybí odkaz do FS, nebo pokud komise tvrzení ve FS či v demu neověří. Odpovědi oblastí INT, NFR, SEC, MIG a REG slouží jako podklad pro hodnocení FS.</w:t>
      </w:r>
    </w:p>
    <w:bookmarkEnd w:id="25"/>
    <w:bookmarkStart w:id="26" w:name="X86a2f624584a5b6a9d5807d1b18c09e284f5ace"/>
    <w:p>
      <w:pPr>
        <w:pStyle w:val="Heading2"/>
      </w:pPr>
      <w:r>
        <w:t xml:space="preserve">5.3 Architektura a bezpečnost (Feasibility Study, 0–10)</w:t>
      </w:r>
    </w:p>
    <w:p>
      <w:pPr>
        <w:pStyle w:val="FirstParagraph"/>
      </w:pPr>
      <w:r>
        <w:t xml:space="preserve">Každý hlasující člen komise hodnotí nezávisle šest kritérií (kap. 3, 4, 5, 6.6, 7, 9–10 FS):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8–10:</w:t>
      </w:r>
      <w:r>
        <w:t xml:space="preserve"> </w:t>
      </w:r>
      <w:r>
        <w:t xml:space="preserve">detailní návrh s jasným popisem integrací přesně na rozhraní Banky;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4–7:</w:t>
      </w:r>
      <w:r>
        <w:t xml:space="preserve"> </w:t>
      </w:r>
      <w:r>
        <w:t xml:space="preserve">standardizovaný popis, chybí detail na specifické systémy (core banking, CRM);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0–3:</w:t>
      </w:r>
      <w:r>
        <w:t xml:space="preserve"> </w:t>
      </w:r>
      <w:r>
        <w:t xml:space="preserve">obecné marketingové fráze bez technické hloubky.</w:t>
      </w:r>
    </w:p>
    <w:p>
      <w:pPr>
        <w:pStyle w:val="FirstParagraph"/>
      </w:pPr>
      <w:r>
        <w:rPr>
          <w:rStyle w:val="VerbatimChar"/>
        </w:rPr>
        <w:t xml:space="preserve">body = průměr všech známek / 10 × 20</w:t>
      </w:r>
    </w:p>
    <w:bookmarkEnd w:id="26"/>
    <w:bookmarkStart w:id="27" w:name="delivery-a-zkušenosti-010"/>
    <w:p>
      <w:pPr>
        <w:pStyle w:val="Heading2"/>
      </w:pPr>
      <w:r>
        <w:t xml:space="preserve">5.4 Delivery a zkušenosti (0–10)</w:t>
      </w:r>
    </w:p>
    <w:p>
      <w:pPr>
        <w:pStyle w:val="FirstParagraph"/>
      </w:pPr>
      <w:r>
        <w:t xml:space="preserve">Kritéria D1 reference (min. 2 banky v EU s AML řešením v produkci), D2 seniorita klíčových osob, D3 návrh SLA vs. Příloha 4, D4 realističnost plánu.</w:t>
      </w:r>
      <w:r>
        <w:t xml:space="preserve"> </w:t>
      </w:r>
      <w:r>
        <w:rPr>
          <w:rStyle w:val="VerbatimChar"/>
        </w:rPr>
        <w:t xml:space="preserve">body = průměr / 10 × 10</w:t>
      </w:r>
    </w:p>
    <w:bookmarkEnd w:id="27"/>
    <w:bookmarkEnd w:id="28"/>
    <w:bookmarkStart w:id="29" w:name="hodnoticí-komise"/>
    <w:p>
      <w:pPr>
        <w:pStyle w:val="Heading1"/>
      </w:pPr>
      <w:r>
        <w:t xml:space="preserve">6. Hodnoticí komise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Člen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Hlas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Jana Novotná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analytička / Product Owner AML – předsedkyně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Martin Dvořák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architekt 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Mgr. Tomáš Svoboda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Bezpečnostní architekt (útvar CISO)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JUDr. Lucie Malá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Ředitelka Compliance, pověřená osoba (MLRO)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Pavel Černý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– dohled nad procesem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Interní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Pozorovatel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</w:tbl>
    <w:p>
      <w:pPr>
        <w:pStyle w:val="BodyText"/>
      </w:pPr>
      <w:r>
        <w:t xml:space="preserve">Hodnocení nezůstává jen na IT nebo jen na byznysu. Hodnoticí arch podepisují zástupci IT, byznysu i bezpečnosti a schvaluje ho sponzor.</w:t>
      </w:r>
    </w:p>
    <w:bookmarkEnd w:id="29"/>
    <w:bookmarkStart w:id="30" w:name="auditní-stopa"/>
    <w:p>
      <w:pPr>
        <w:pStyle w:val="Heading1"/>
      </w:pPr>
      <w:r>
        <w:t xml:space="preserve">7. Auditní stopa</w:t>
      </w:r>
    </w:p>
    <w:p>
      <w:pPr>
        <w:numPr>
          <w:ilvl w:val="0"/>
          <w:numId w:val="1002"/>
        </w:numPr>
        <w:pStyle w:val="Compact"/>
      </w:pPr>
      <w:r>
        <w:t xml:space="preserve">Váhy, stupnice a K.O. kritéria jsou schválena</w:t>
      </w:r>
      <w:r>
        <w:t xml:space="preserve"> </w:t>
      </w:r>
      <w:r>
        <w:rPr>
          <w:bCs/>
          <w:b/>
        </w:rPr>
        <w:t xml:space="preserve">před</w:t>
      </w:r>
      <w:r>
        <w:t xml:space="preserve"> </w:t>
      </w:r>
      <w:r>
        <w:t xml:space="preserve">vyhlášením řízení a po otevření nabídek se nemění.</w:t>
      </w:r>
    </w:p>
    <w:p>
      <w:pPr>
        <w:numPr>
          <w:ilvl w:val="0"/>
          <w:numId w:val="1002"/>
        </w:numPr>
        <w:pStyle w:val="Compact"/>
      </w:pPr>
      <w:r>
        <w:t xml:space="preserve">Členové komise podepisují prohlášení o neexistenci střetu zájmů před otevřením nabídek.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Každá známka horší než průměr daného kritéria</w:t>
      </w:r>
      <w:r>
        <w:t xml:space="preserve"> </w:t>
      </w:r>
      <w:r>
        <w:t xml:space="preserve">musí mít jednovětné zdůvodnění (např. „Dodavatel navrhuje point-to-point integraci namísto požadovaného použití bankovní Kafka sběrnice.“). Model zdůvodnění vynucuje – buňka bez něj zčervená.</w:t>
      </w:r>
    </w:p>
    <w:p>
      <w:pPr>
        <w:numPr>
          <w:ilvl w:val="0"/>
          <w:numId w:val="1002"/>
        </w:numPr>
        <w:pStyle w:val="Compact"/>
      </w:pPr>
      <w:r>
        <w:t xml:space="preserve">Každé snížení bodů v Matici (chybějící odkaz FS, neověřeno v demu) má zdůvodnění.</w:t>
      </w:r>
    </w:p>
    <w:p>
      <w:pPr>
        <w:numPr>
          <w:ilvl w:val="0"/>
          <w:numId w:val="1002"/>
        </w:numPr>
        <w:pStyle w:val="Compact"/>
      </w:pPr>
      <w:r>
        <w:t xml:space="preserve">Komunikace s uchazeči jen přes kontaktní osobu; Q&amp;A log se sdílí všem.</w:t>
      </w:r>
    </w:p>
    <w:p>
      <w:pPr>
        <w:numPr>
          <w:ilvl w:val="0"/>
          <w:numId w:val="1002"/>
        </w:numPr>
        <w:pStyle w:val="Compact"/>
      </w:pPr>
      <w:r>
        <w:t xml:space="preserve">Všechny podklady (nabídky, hodnoticí model, záznamy z dem, hodnoticí arch) se archivují 10 let.</w:t>
      </w:r>
    </w:p>
    <w:bookmarkEnd w:id="30"/>
    <w:bookmarkStart w:id="31" w:name="shoda-bodů-a-citlivost"/>
    <w:p>
      <w:pPr>
        <w:pStyle w:val="Heading1"/>
      </w:pPr>
      <w:r>
        <w:t xml:space="preserve">8. Shoda bodů a citlivost</w:t>
      </w:r>
    </w:p>
    <w:p>
      <w:pPr>
        <w:pStyle w:val="FirstParagraph"/>
      </w:pPr>
      <w:r>
        <w:t xml:space="preserve">Při rozdílu celkového skóre menším než 1,0 bodu rozhoduje vyšší skóre Architektura &amp; bezpečnost, poté nižší TCO. Hodnoticí zpráva obsahuje citlivostní analýzu: zda by se pořadí změnilo při posunu váhy ceny o ±5 p. b.</w:t>
      </w:r>
    </w:p>
    <w:bookmarkEnd w:id="31"/>
    <w:bookmarkStart w:id="32" w:name="fiktivní-výsledek-ukázka-v-modelu"/>
    <w:p>
      <w:pPr>
        <w:pStyle w:val="Heading1"/>
      </w:pPr>
      <w:r>
        <w:t xml:space="preserve">9. Fiktivní výsledek (ukázka v modelu)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Dodavatel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K.O.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Cena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Byznys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Arch &amp; Sec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Celkem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Dodavatel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POSTUPUJE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Dodavatel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POSTUPUJE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Dodavatel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VYŘAZEN (NFR-006, LEG-001)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Dodavatel B je o 20 % levnější, ale 5 požadavků řeší custom vývojem a 5 nesplňuje nebo dodává přes třetí stranu. Navíc navrhuje point-to-point integraci na core banking, takže se reálné TCO pravděpodobně zvýší vícepracemi. Doporučení komise: jednat s Dodavatelem A, v BAFO tlačit na cenu licencí a strop sankcí SLA.</w:t>
      </w:r>
    </w:p>
    <w:bookmarkEnd w:id="32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Hodnoticí metodika výběrového řízení SENTINEL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23. 9. 2026</vt:lpwstr>
  </property>
  <property fmtid="{D5CDD505-2E9C-101B-9397-08002B2CF9AE}" pid="3" name="subtitle">
    <vt:lpwstr>Horizont Privátní banka, a.s. · Interní · schváleno SteerCo 23. 9. 2026</vt:lpwstr>
  </property>
</Properties>
</file>