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 (written review October 28,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2:00 to 2:45 PM MST, on Zoom. Participants: Vyshanth Buddani (stakeholder) and all five team members: Shrey Bishnoi, Arsha Jindal, Ritik Agarwal, Vatsal Nirmal and Maulik Jadav. </w:t>
      </w:r>
      <w:r>
        <w:rPr>
          <w:b/>
        </w:rPr>
        <w:t>Notes:</w:t>
      </w:r>
      <w:r>
        <w:t xml:space="preserve"> the team walked through the plan and design (no working system yet). Vyshanth praised the planned replay script and change log and asked us to keep the defaults simple so users are not asked unnecessary questions. Because nothing was running yet, his review of the working system and results was done in writing afterwards.</w:t>
      </w:r>
    </w:p>
    <w:p>
      <w:pPr/>
      <w:r>
        <w:rPr>
          <w:b/>
        </w:rPr>
        <w:t>Review of the working system (October 28, 2026).</w:t>
      </w:r>
      <w:r>
        <w:t xml:space="preserve"> Once the system was built we sent Vyshanth the demo on his file (Section 4), the results (Section 3) and a decision form; he answered in writing and signed off that he reviewed both. </w:t>
      </w:r>
      <w:r>
        <w:rPr>
          <w:b/>
        </w:rPr>
        <w:t>Useful:</w:t>
      </w:r>
      <w:r>
        <w:t xml:space="preserve"> the replay script, the change log and the approvals, which he said give full auditability and would make him trust an answer; 3 questions on his file is ideal and the report layout can stay. </w:t>
      </w:r>
      <w:r>
        <w:rPr>
          <w:b/>
        </w:rPr>
        <w:t>Still unmet:</w:t>
      </w:r>
      <w:r>
        <w:t xml:space="preserve"> inconsistent date strings and negative refund rows. The small model's speed (about 15 s) convinced him it should be the default.</w:t>
      </w:r>
    </w:p>
    <w:p>
      <w:pPr/>
      <w:r>
        <w:t>Table 1 lists his feedback, what we did about it and what comes next. Rows 1 to 5 come from the Milestone 1 meeting on September 28, 2026; rows 6 to 9 come from his October 28 review.</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808"/>
        <w:gridCol w:w="3528"/>
        <w:gridCol w:w="2664"/>
      </w:tblGrid>
      <w:tr>
        <w:trPr>
          <w:tblHeader w:val="true"/>
          <w:cantSplit/>
        </w:trPr>
        <w:tc>
          <w:tcPr>
            <w:tcW w:type="dxa" w:w="360"/>
            <w:shd w:val="clear" w:color="auto" w:fill="E7E6E6"/>
          </w:tcPr>
          <w:p>
            <w:pPr>
              <w:spacing w:after="0" w:before="0" w:line="240" w:lineRule="auto"/>
            </w:pPr>
            <w:r/>
            <w:r>
              <w:rPr>
                <w:b/>
                <w:sz w:val="16"/>
              </w:rPr>
              <w:t>#</w:t>
            </w:r>
          </w:p>
        </w:tc>
        <w:tc>
          <w:tcPr>
            <w:tcW w:type="dxa" w:w="2808"/>
            <w:shd w:val="clear" w:color="auto" w:fill="E7E6E6"/>
          </w:tcPr>
          <w:p>
            <w:pPr>
              <w:spacing w:after="0" w:before="0" w:line="240" w:lineRule="auto"/>
            </w:pPr>
            <w:r/>
            <w:r>
              <w:rPr>
                <w:b/>
                <w:sz w:val="16"/>
              </w:rPr>
              <w:t>Feedback</w:t>
            </w:r>
          </w:p>
        </w:tc>
        <w:tc>
          <w:tcPr>
            <w:tcW w:type="dxa" w:w="3528"/>
            <w:shd w:val="clear" w:color="auto" w:fill="E7E6E6"/>
          </w:tcPr>
          <w:p>
            <w:pPr>
              <w:spacing w:after="0" w:before="0" w:line="240" w:lineRule="auto"/>
            </w:pPr>
            <w:r/>
            <w:r>
              <w:rPr>
                <w:b/>
                <w:sz w:val="16"/>
              </w:rPr>
              <w:t>Team response</w:t>
            </w:r>
          </w:p>
        </w:tc>
        <w:tc>
          <w:tcPr>
            <w:tcW w:type="dxa" w:w="2664"/>
            <w:shd w:val="clear" w:color="auto" w:fill="E7E6E6"/>
          </w:tcPr>
          <w:p>
            <w:pPr>
              <w:spacing w:after="0" w:before="0" w:line="240" w:lineRule="auto"/>
            </w:pPr>
            <w:r/>
            <w:r>
              <w:rPr>
                <w:b/>
                <w:sz w:val="16"/>
              </w:rPr>
              <w:t>Next action</w:t>
            </w:r>
          </w:p>
        </w:tc>
      </w:tr>
      <w:tr>
        <w:trPr>
          <w:cantSplit/>
        </w:trPr>
        <w:tc>
          <w:tcPr>
            <w:tcW w:type="dxa" w:w="360"/>
          </w:tcPr>
          <w:p>
            <w:pPr>
              <w:spacing w:after="0" w:before="0" w:line="240" w:lineRule="auto"/>
            </w:pPr>
            <w:r/>
            <w:r>
              <w:rPr>
                <w:sz w:val="16"/>
              </w:rPr>
              <w:t>1</w:t>
            </w:r>
          </w:p>
        </w:tc>
        <w:tc>
          <w:tcPr>
            <w:tcW w:type="dxa" w:w="2808"/>
          </w:tcPr>
          <w:p>
            <w:pPr>
              <w:spacing w:after="0" w:before="0" w:line="240" w:lineRule="auto"/>
            </w:pPr>
            <w:r/>
            <w:r>
              <w:rPr>
                <w:sz w:val="16"/>
              </w:rPr>
              <w:t>Correctness first: never change the original, log every change, ask before uncertain changes.</w:t>
            </w:r>
          </w:p>
        </w:tc>
        <w:tc>
          <w:tcPr>
            <w:tcW w:type="dxa" w:w="3528"/>
          </w:tcPr>
          <w:p>
            <w:pPr>
              <w:spacing w:after="0" w:before="0" w:line="240" w:lineRule="auto"/>
            </w:pPr>
            <w:r/>
            <w:r>
              <w:rPr>
                <w:sz w:val="16"/>
              </w:rPr>
              <w:t>Original kept read-only; every fix is a new version with a logged reason, rows and cells touched, risk and approval. Risk is set in code, not by the model.</w:t>
            </w:r>
          </w:p>
        </w:tc>
        <w:tc>
          <w:tcPr>
            <w:tcW w:type="dxa" w:w="2664"/>
          </w:tcPr>
          <w:p>
            <w:pPr>
              <w:spacing w:after="0" w:before="0" w:line="240" w:lineRule="auto"/>
            </w:pPr>
            <w:r/>
            <w:r>
              <w:rPr>
                <w:sz w:val="16"/>
              </w:rPr>
              <w:t>Done; he confirmed the outputs give full auditability.</w:t>
            </w:r>
          </w:p>
        </w:tc>
      </w:tr>
      <w:tr>
        <w:trPr>
          <w:cantSplit/>
        </w:trPr>
        <w:tc>
          <w:tcPr>
            <w:tcW w:type="dxa" w:w="360"/>
          </w:tcPr>
          <w:p>
            <w:pPr>
              <w:spacing w:after="0" w:before="0" w:line="240" w:lineRule="auto"/>
            </w:pPr>
            <w:r/>
            <w:r>
              <w:rPr>
                <w:sz w:val="16"/>
              </w:rPr>
              <w:t>2</w:t>
            </w:r>
          </w:p>
        </w:tc>
        <w:tc>
          <w:tcPr>
            <w:tcW w:type="dxa" w:w="2808"/>
          </w:tcPr>
          <w:p>
            <w:pPr>
              <w:spacing w:after="0" w:before="0" w:line="240" w:lineRule="auto"/>
            </w:pPr>
            <w:r/>
            <w:r>
              <w:rPr>
                <w:sz w:val="16"/>
              </w:rPr>
              <w:t>Only simple formatting fixes may run without asking.</w:t>
            </w:r>
          </w:p>
        </w:tc>
        <w:tc>
          <w:tcPr>
            <w:tcW w:type="dxa" w:w="3528"/>
          </w:tcPr>
          <w:p>
            <w:pPr>
              <w:spacing w:after="0" w:before="0" w:line="240" w:lineRule="auto"/>
            </w:pPr>
            <w:r/>
            <w:r>
              <w:rPr>
                <w:sz w:val="16"/>
              </w:rPr>
              <w:t>Trimming, case or space merges and clean parses run on their own; everything else asks (3 times on his file).</w:t>
            </w:r>
          </w:p>
        </w:tc>
        <w:tc>
          <w:tcPr>
            <w:tcW w:type="dxa" w:w="2664"/>
          </w:tcPr>
          <w:p>
            <w:pPr>
              <w:spacing w:after="0" w:before="0" w:line="240" w:lineRule="auto"/>
            </w:pPr>
            <w:r/>
            <w:r>
              <w:rPr>
                <w:sz w:val="16"/>
              </w:rPr>
              <w:t>Keep; he finds 3 questions ideal.</w:t>
            </w:r>
          </w:p>
        </w:tc>
      </w:tr>
      <w:tr>
        <w:trPr>
          <w:cantSplit/>
        </w:trPr>
        <w:tc>
          <w:tcPr>
            <w:tcW w:type="dxa" w:w="360"/>
          </w:tcPr>
          <w:p>
            <w:pPr>
              <w:spacing w:after="0" w:before="0" w:line="240" w:lineRule="auto"/>
            </w:pPr>
            <w:r/>
            <w:r>
              <w:rPr>
                <w:sz w:val="16"/>
              </w:rPr>
              <w:t>3</w:t>
            </w:r>
          </w:p>
        </w:tc>
        <w:tc>
          <w:tcPr>
            <w:tcW w:type="dxa" w:w="2808"/>
          </w:tcPr>
          <w:p>
            <w:pPr>
              <w:spacing w:after="0" w:before="0" w:line="240" w:lineRule="auto"/>
            </w:pPr>
            <w:r/>
            <w:r>
              <w:rPr>
                <w:sz w:val="16"/>
              </w:rPr>
              <w:t>Stay focused on CSV/Excel and common tabular issues.</w:t>
            </w:r>
          </w:p>
        </w:tc>
        <w:tc>
          <w:tcPr>
            <w:tcW w:type="dxa" w:w="3528"/>
          </w:tcPr>
          <w:p>
            <w:pPr>
              <w:spacing w:after="0" w:before="0" w:line="240" w:lineRule="auto"/>
            </w:pPr>
            <w:r/>
            <w:r>
              <w:rPr>
                <w:sz w:val="16"/>
              </w:rPr>
              <w:t>8 issue types, 7 check tools, 9 fix tools; no new formats.</w:t>
            </w:r>
          </w:p>
        </w:tc>
        <w:tc>
          <w:tcPr>
            <w:tcW w:type="dxa" w:w="2664"/>
          </w:tcPr>
          <w:p>
            <w:pPr>
              <w:spacing w:after="0" w:before="0" w:line="240" w:lineRule="auto"/>
            </w:pPr>
            <w:r/>
            <w:r>
              <w:rPr>
                <w:sz w:val="16"/>
              </w:rPr>
              <w:t>Scope agreed (below).</w:t>
            </w:r>
          </w:p>
        </w:tc>
      </w:tr>
      <w:tr>
        <w:trPr>
          <w:cantSplit/>
        </w:trPr>
        <w:tc>
          <w:tcPr>
            <w:tcW w:type="dxa" w:w="360"/>
          </w:tcPr>
          <w:p>
            <w:pPr>
              <w:spacing w:after="0" w:before="0" w:line="240" w:lineRule="auto"/>
            </w:pPr>
            <w:r/>
            <w:r>
              <w:rPr>
                <w:sz w:val="16"/>
              </w:rPr>
              <w:t>4</w:t>
            </w:r>
          </w:p>
        </w:tc>
        <w:tc>
          <w:tcPr>
            <w:tcW w:type="dxa" w:w="2808"/>
          </w:tcPr>
          <w:p>
            <w:pPr>
              <w:spacing w:after="0" w:before="0" w:line="240" w:lineRule="auto"/>
            </w:pPr>
            <w:r/>
            <w:r>
              <w:rPr>
                <w:sz w:val="16"/>
              </w:rPr>
              <w:t>Rules file first; trusted-document retrieval later.</w:t>
            </w:r>
          </w:p>
        </w:tc>
        <w:tc>
          <w:tcPr>
            <w:tcW w:type="dxa" w:w="3528"/>
          </w:tcPr>
          <w:p>
            <w:pPr>
              <w:spacing w:after="0" w:before="0" w:line="240" w:lineRule="auto"/>
            </w:pPr>
            <w:r/>
            <w:r>
              <w:rPr>
                <w:rFonts w:ascii="Courier New" w:hAnsi="Courier New" w:eastAsia="Courier New"/>
                <w:sz w:val="13"/>
              </w:rPr>
              <w:t>lookup_rules</w:t>
            </w:r>
            <w:r>
              <w:rPr>
                <w:sz w:val="16"/>
              </w:rPr>
              <w:t xml:space="preserve"> reads a JSON rules file. Retrieval not built.</w:t>
            </w:r>
          </w:p>
        </w:tc>
        <w:tc>
          <w:tcPr>
            <w:tcW w:type="dxa" w:w="2664"/>
          </w:tcPr>
          <w:p>
            <w:pPr>
              <w:spacing w:after="0" w:before="0" w:line="240" w:lineRule="auto"/>
            </w:pPr>
            <w:r/>
            <w:r>
              <w:rPr>
                <w:sz w:val="16"/>
              </w:rPr>
              <w:t>Retrieval stays optional.</w:t>
            </w:r>
          </w:p>
        </w:tc>
      </w:tr>
      <w:tr>
        <w:trPr>
          <w:cantSplit/>
        </w:trPr>
        <w:tc>
          <w:tcPr>
            <w:tcW w:type="dxa" w:w="360"/>
          </w:tcPr>
          <w:p>
            <w:pPr>
              <w:spacing w:after="0" w:before="0" w:line="240" w:lineRule="auto"/>
            </w:pPr>
            <w:r/>
            <w:r>
              <w:rPr>
                <w:sz w:val="16"/>
              </w:rPr>
              <w:t>5</w:t>
            </w:r>
          </w:p>
        </w:tc>
        <w:tc>
          <w:tcPr>
            <w:tcW w:type="dxa" w:w="2808"/>
          </w:tcPr>
          <w:p>
            <w:pPr>
              <w:spacing w:after="0" w:before="0" w:line="240" w:lineRule="auto"/>
            </w:pPr>
            <w:r/>
            <w:r>
              <w:rPr>
                <w:sz w:val="16"/>
              </w:rPr>
              <w:t>Treat the numeric targets as initial goals; adjust after testing.</w:t>
            </w:r>
          </w:p>
        </w:tc>
        <w:tc>
          <w:tcPr>
            <w:tcW w:type="dxa" w:w="3528"/>
          </w:tcPr>
          <w:p>
            <w:pPr>
              <w:spacing w:after="0" w:before="0" w:line="240" w:lineRule="auto"/>
            </w:pPr>
            <w:r/>
            <w:r>
              <w:rPr>
                <w:sz w:val="16"/>
              </w:rPr>
              <w:t>All targets measured (Section 3); speed with the large model misses 60 s.</w:t>
            </w:r>
          </w:p>
        </w:tc>
        <w:tc>
          <w:tcPr>
            <w:tcW w:type="dxa" w:w="2664"/>
          </w:tcPr>
          <w:p>
            <w:pPr>
              <w:spacing w:after="0" w:before="0" w:line="240" w:lineRule="auto"/>
            </w:pPr>
            <w:r/>
            <w:r>
              <w:rPr>
                <w:sz w:val="16"/>
              </w:rPr>
              <w:t>Adjusted targets agreed (below).</w:t>
            </w:r>
          </w:p>
        </w:tc>
      </w:tr>
      <w:tr>
        <w:trPr>
          <w:cantSplit/>
        </w:trPr>
        <w:tc>
          <w:tcPr>
            <w:tcW w:type="dxa" w:w="360"/>
          </w:tcPr>
          <w:p>
            <w:pPr>
              <w:spacing w:after="0" w:before="0" w:line="240" w:lineRule="auto"/>
            </w:pPr>
            <w:r/>
            <w:r>
              <w:rPr>
                <w:sz w:val="16"/>
              </w:rPr>
              <w:t>6</w:t>
            </w:r>
          </w:p>
        </w:tc>
        <w:tc>
          <w:tcPr>
            <w:tcW w:type="dxa" w:w="2808"/>
          </w:tcPr>
          <w:p>
            <w:pPr>
              <w:spacing w:after="0" w:before="0" w:line="240" w:lineRule="auto"/>
            </w:pPr>
            <w:r/>
            <w:r>
              <w:rPr>
                <w:sz w:val="16"/>
              </w:rPr>
              <w:t>Make the small model the default and keep the 60 s target; let users switch to the large model.</w:t>
            </w:r>
          </w:p>
        </w:tc>
        <w:tc>
          <w:tcPr>
            <w:tcW w:type="dxa" w:w="3528"/>
          </w:tcPr>
          <w:p>
            <w:pPr>
              <w:spacing w:after="0" w:before="0" w:line="240" w:lineRule="auto"/>
            </w:pPr>
            <w:r/>
            <w:r>
              <w:rPr>
                <w:sz w:val="16"/>
              </w:rPr>
              <w:t>Small model with the rule: about 15 s, 90% / 80% on held-out tasks (Table 7).</w:t>
            </w:r>
          </w:p>
        </w:tc>
        <w:tc>
          <w:tcPr>
            <w:tcW w:type="dxa" w:w="2664"/>
          </w:tcPr>
          <w:p>
            <w:pPr>
              <w:spacing w:after="0" w:before="0" w:line="240" w:lineRule="auto"/>
            </w:pPr>
            <w:r/>
            <w:r>
              <w:rPr>
                <w:sz w:val="16"/>
              </w:rPr>
              <w:t>Make 30B the default with an option for 235B; close the gap to 90%.</w:t>
            </w:r>
          </w:p>
        </w:tc>
      </w:tr>
      <w:tr>
        <w:trPr>
          <w:cantSplit/>
        </w:trPr>
        <w:tc>
          <w:tcPr>
            <w:tcW w:type="dxa" w:w="360"/>
          </w:tcPr>
          <w:p>
            <w:pPr>
              <w:spacing w:after="0" w:before="0" w:line="240" w:lineRule="auto"/>
            </w:pPr>
            <w:r/>
            <w:r>
              <w:rPr>
                <w:sz w:val="16"/>
              </w:rPr>
              <w:t>7</w:t>
            </w:r>
          </w:p>
        </w:tc>
        <w:tc>
          <w:tcPr>
            <w:tcW w:type="dxa" w:w="2808"/>
          </w:tcPr>
          <w:p>
            <w:pPr>
              <w:spacing w:after="0" w:before="0" w:line="240" w:lineRule="auto"/>
            </w:pPr>
            <w:r/>
            <w:r>
              <w:rPr>
                <w:sz w:val="16"/>
              </w:rPr>
              <w:t>Blank unreadable dates and convert clear date formats automatically; ask only on ambiguous dates.</w:t>
            </w:r>
          </w:p>
        </w:tc>
        <w:tc>
          <w:tcPr>
            <w:tcW w:type="dxa" w:w="3528"/>
          </w:tcPr>
          <w:p>
            <w:pPr>
              <w:spacing w:after="0" w:before="0" w:line="240" w:lineRule="auto"/>
            </w:pPr>
            <w:r/>
            <w:r>
              <w:rPr>
                <w:sz w:val="16"/>
              </w:rPr>
              <w:t>Today an unreadable date asks first (medium risk) and only YYYY-MM-DD is accepted.</w:t>
            </w:r>
          </w:p>
        </w:tc>
        <w:tc>
          <w:tcPr>
            <w:tcW w:type="dxa" w:w="2664"/>
          </w:tcPr>
          <w:p>
            <w:pPr>
              <w:spacing w:after="0" w:before="0" w:line="240" w:lineRule="auto"/>
            </w:pPr>
            <w:r/>
            <w:r>
              <w:rPr>
                <w:sz w:val="16"/>
              </w:rPr>
              <w:t>Make both low risk and logged; ask only for dates like 03/04/2026.</w:t>
            </w:r>
          </w:p>
        </w:tc>
      </w:tr>
      <w:tr>
        <w:trPr>
          <w:cantSplit/>
        </w:trPr>
        <w:tc>
          <w:tcPr>
            <w:tcW w:type="dxa" w:w="360"/>
          </w:tcPr>
          <w:p>
            <w:pPr>
              <w:spacing w:after="0" w:before="0" w:line="240" w:lineRule="auto"/>
            </w:pPr>
            <w:r/>
            <w:r>
              <w:rPr>
                <w:sz w:val="16"/>
              </w:rPr>
              <w:t>8</w:t>
            </w:r>
          </w:p>
        </w:tc>
        <w:tc>
          <w:tcPr>
            <w:tcW w:type="dxa" w:w="2808"/>
          </w:tcPr>
          <w:p>
            <w:pPr>
              <w:spacing w:after="0" w:before="0" w:line="240" w:lineRule="auto"/>
            </w:pPr>
            <w:r/>
            <w:r>
              <w:rPr>
                <w:sz w:val="16"/>
              </w:rPr>
              <w:t>Let a rules file mark negative quantities as refunds (</w:t>
            </w:r>
            <w:r>
              <w:rPr>
                <w:rFonts w:ascii="Courier New" w:hAnsi="Courier New" w:eastAsia="Courier New"/>
                <w:sz w:val="13"/>
              </w:rPr>
              <w:t>allow_negative_quantities</w:t>
            </w:r>
            <w:r>
              <w:rPr>
                <w:sz w:val="16"/>
              </w:rPr>
              <w:t>).</w:t>
            </w:r>
          </w:p>
        </w:tc>
        <w:tc>
          <w:tcPr>
            <w:tcW w:type="dxa" w:w="3528"/>
          </w:tcPr>
          <w:p>
            <w:pPr>
              <w:spacing w:after="0" w:before="0" w:line="240" w:lineRule="auto"/>
            </w:pPr>
            <w:r/>
            <w:r>
              <w:rPr>
                <w:sz w:val="16"/>
              </w:rPr>
              <w:t>Not supported yet; negatives are always treated as rule breaks.</w:t>
            </w:r>
          </w:p>
        </w:tc>
        <w:tc>
          <w:tcPr>
            <w:tcW w:type="dxa" w:w="2664"/>
          </w:tcPr>
          <w:p>
            <w:pPr>
              <w:spacing w:after="0" w:before="0" w:line="240" w:lineRule="auto"/>
            </w:pPr>
            <w:r/>
            <w:r>
              <w:rPr>
                <w:sz w:val="16"/>
              </w:rPr>
              <w:t>Add the rule key; keep such rows without asking.</w:t>
            </w:r>
          </w:p>
        </w:tc>
      </w:tr>
      <w:tr>
        <w:trPr>
          <w:cantSplit/>
        </w:trPr>
        <w:tc>
          <w:tcPr>
            <w:tcW w:type="dxa" w:w="360"/>
          </w:tcPr>
          <w:p>
            <w:pPr>
              <w:spacing w:after="0" w:before="0" w:line="240" w:lineRule="auto"/>
            </w:pPr>
            <w:r/>
            <w:r>
              <w:rPr>
                <w:sz w:val="16"/>
              </w:rPr>
              <w:t>9</w:t>
            </w:r>
          </w:p>
        </w:tc>
        <w:tc>
          <w:tcPr>
            <w:tcW w:type="dxa" w:w="2808"/>
          </w:tcPr>
          <w:p>
            <w:pPr>
              <w:spacing w:after="0" w:before="0" w:line="240" w:lineRule="auto"/>
            </w:pPr>
            <w:r/>
            <w:r>
              <w:rPr>
                <w:sz w:val="16"/>
              </w:rPr>
              <w:t>Keep checking only question columns; drop near-duplicates; skip the code sandbox.</w:t>
            </w:r>
          </w:p>
        </w:tc>
        <w:tc>
          <w:tcPr>
            <w:tcW w:type="dxa" w:w="3528"/>
          </w:tcPr>
          <w:p>
            <w:pPr>
              <w:spacing w:after="0" w:before="0" w:line="240" w:lineRule="auto"/>
            </w:pPr>
            <w:r/>
            <w:r>
              <w:rPr>
                <w:sz w:val="16"/>
              </w:rPr>
              <w:t>Matches the current design.</w:t>
            </w:r>
          </w:p>
        </w:tc>
        <w:tc>
          <w:tcPr>
            <w:tcW w:type="dxa" w:w="2664"/>
          </w:tcPr>
          <w:p>
            <w:pPr>
              <w:spacing w:after="0" w:before="0" w:line="240" w:lineRule="auto"/>
            </w:pPr>
            <w:r/>
            <w:r>
              <w:rPr>
                <w:sz w:val="16"/>
              </w:rPr>
              <w:t>Removed from remaining work (Section 6).</w:t>
            </w:r>
          </w:p>
        </w:tc>
      </w:tr>
    </w:tbl>
    <w:p>
      <w:pPr>
        <w:spacing w:after="40"/>
      </w:pPr>
    </w:p>
    <w:p>
      <w:pPr/>
      <w:r>
        <w:rPr>
          <w:b/>
        </w:rPr>
        <w:t>Final deliverables and scope (agreed October 28):</w:t>
      </w:r>
      <w:r>
        <w:t xml:space="preserve"> (1) the DataSage command-line tool for one CSV or Excel table, a question and an optional rules file, with the five Milestone 1 outputs (quality report, change log, cleaned copy, answer with caveats, replay script); (2) a Streamlit page for the demo; (3) reusable cleaning recipes; (4) a final evaluation on the held-out tasks plus real messy files; and (5) his ratings of 10 reports and an acceptance test. Out of scope: joins across tables, unstructured data, machine learning, writing back to the source, near-duplicate rows and the code sandbox; trusted-document retrieval only if time allows.</w:t>
      </w:r>
    </w:p>
    <w:p>
      <w:pPr/>
      <w:r>
        <w:rPr>
          <w:b/>
        </w:rPr>
        <w:t>Success criteria (agreed):</w:t>
      </w:r>
      <w:r>
        <w:t xml:space="preserve"> answer accuracy ≥ 90% on the held-out tasks, zero damaged valid data, detection precision ≥ 0.85 and recall ≥ 0.80, planted errors handled ≥ 80%, completion and tool-call success ≥ 95%, at most 3 approvals per question, and ≤ 60 s per question with the small model. Cost is reported in tokens. The acceptance test passes if 3 test files reach ≥ 90% answer accuracy with no valid data corrupted.</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In Figure 1, solid boxes are built,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(planned, Section 6). Near-duplicate rows are not detected; the stakeholder dropped them from scope.</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Our planted-error benchmark (</w:t>
      </w:r>
      <w:r>
        <w:rPr>
          <w:rFonts w:ascii="Courier New" w:hAnsi="Courier New" w:eastAsia="Courier New"/>
          <w:sz w:val="19"/>
        </w:rPr>
        <w:t>eval/generate.py</w:t>
      </w:r>
      <w:r>
        <w:t xml:space="preserve">) gives every task an exact answer. It plants errors in a clean table and records each one (row, column, type, messy and clean value, and the correct resolution: restore, exclude the row, set or keep missing, or drop the copy). Applying the resolutions gives a reference table, and each reference answer is computed on it with the same </w:t>
      </w:r>
      <w:r>
        <w:rPr>
          <w:rFonts w:ascii="Courier New" w:hAnsi="Courier New" w:eastAsia="Courier New"/>
          <w:sz w:val="19"/>
        </w:rPr>
        <w:t>analyze</w:t>
      </w:r>
      <w:r>
        <w:t xml:space="preserve"> code the agent uses. Each table has a rules file and two questions (counts, sums or means by group, some filtered) that touch the planted errors (Table 3).</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754880" cy="3208112"/>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754880" cy="3208112"/>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lists the likely cause of every wrong task from its trace and planted errors (for example "never ran a check for out_of_range"); we confirmed the main cases by reading the traces.</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669280" cy="1140943"/>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669280" cy="1140943"/>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(enough for the stakeholder), and dates only as YYYY-MM-DD.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Table 9 lists the remaining work in priority order. Items 1 to 8 are required; trusted-document retrieval is optional. Near-duplicate rows and the code sandbox were dropped from scope by the stakeholder.</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944"/>
        <w:gridCol w:w="2736"/>
        <w:gridCol w:w="864"/>
        <w:gridCol w:w="1800"/>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944"/>
            <w:shd w:val="clear" w:color="auto" w:fill="E7E6E6"/>
          </w:tcPr>
          <w:p>
            <w:pPr>
              <w:spacing w:after="0" w:before="0" w:line="240" w:lineRule="auto"/>
            </w:pPr>
            <w:r/>
            <w:r>
              <w:rPr>
                <w:b/>
                <w:sz w:val="16"/>
              </w:rPr>
              <w:t>Current gap</w:t>
            </w:r>
          </w:p>
        </w:tc>
        <w:tc>
          <w:tcPr>
            <w:tcW w:type="dxa" w:w="2736"/>
            <w:shd w:val="clear" w:color="auto" w:fill="E7E6E6"/>
          </w:tcPr>
          <w:p>
            <w:pPr>
              <w:spacing w:after="0" w:before="0" w:line="240" w:lineRule="auto"/>
            </w:pPr>
            <w:r/>
            <w:r>
              <w:rPr>
                <w:b/>
                <w:sz w:val="16"/>
              </w:rPr>
              <w:t>Planned work or experiment</w:t>
            </w:r>
          </w:p>
        </w:tc>
        <w:tc>
          <w:tcPr>
            <w:tcW w:type="dxa" w:w="864"/>
            <w:shd w:val="clear" w:color="auto" w:fill="E7E6E6"/>
          </w:tcPr>
          <w:p>
            <w:pPr>
              <w:spacing w:after="0" w:before="0" w:line="240" w:lineRule="auto"/>
            </w:pPr>
            <w:r/>
            <w:r>
              <w:rPr>
                <w:b/>
                <w:sz w:val="16"/>
              </w:rPr>
              <w:t>Owner</w:t>
            </w:r>
          </w:p>
        </w:tc>
        <w:tc>
          <w:tcPr>
            <w:tcW w:type="dxa" w:w="1800"/>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Small model as default</w:t>
            </w:r>
          </w:p>
        </w:tc>
        <w:tc>
          <w:tcPr>
            <w:tcW w:type="dxa" w:w="1944"/>
          </w:tcPr>
          <w:p>
            <w:pPr>
              <w:spacing w:after="0" w:before="0" w:line="240" w:lineRule="auto"/>
            </w:pPr>
            <w:r/>
            <w:r>
              <w:rPr>
                <w:sz w:val="16"/>
              </w:rPr>
              <w:t>30B with the rule: 90% / 80% on held-out</w:t>
            </w:r>
          </w:p>
        </w:tc>
        <w:tc>
          <w:tcPr>
            <w:tcW w:type="dxa" w:w="2736"/>
          </w:tcPr>
          <w:p>
            <w:pPr>
              <w:spacing w:after="0" w:before="0" w:line="240" w:lineRule="auto"/>
            </w:pPr>
            <w:r/>
            <w:r>
              <w:rPr>
                <w:sz w:val="16"/>
              </w:rPr>
              <w:t>30B default, 235B optional; compact state summary instead of full history</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 90% on held-out in ≤ 60 s</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spelling merges</w:t>
            </w:r>
          </w:p>
        </w:tc>
        <w:tc>
          <w:tcPr>
            <w:tcW w:type="dxa" w:w="1944"/>
          </w:tcPr>
          <w:p>
            <w:pPr>
              <w:spacing w:after="0" w:before="0" w:line="240" w:lineRule="auto"/>
            </w:pPr>
            <w:r/>
            <w:r>
              <w:rPr>
                <w:sz w:val="16"/>
              </w:rPr>
              <w:t>Metric never checked (case 2); misspellings not merged</w:t>
            </w:r>
          </w:p>
        </w:tc>
        <w:tc>
          <w:tcPr>
            <w:tcW w:type="dxa" w:w="2736"/>
          </w:tcPr>
          <w:p>
            <w:pPr>
              <w:spacing w:after="0" w:before="0" w:line="240" w:lineRule="auto"/>
            </w:pPr>
            <w:r/>
            <w:r>
              <w:rPr>
                <w:sz w:val="16"/>
              </w:rPr>
              <w:t xml:space="preserve">Check columns in </w:t>
            </w:r>
            <w:r>
              <w:rPr>
                <w:rFonts w:ascii="Courier New" w:hAnsi="Courier New" w:eastAsia="Courier New"/>
                <w:sz w:val="13"/>
              </w:rPr>
              <w:t>analyze</w:t>
            </w:r>
            <w:r>
              <w:rPr>
                <w:sz w:val="16"/>
              </w:rPr>
              <w:t>; rule to propose merges into allowed labels</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No such failures on held-out</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Dates and refunds (his unmet needs)</w:t>
            </w:r>
          </w:p>
        </w:tc>
        <w:tc>
          <w:tcPr>
            <w:tcW w:type="dxa" w:w="1944"/>
          </w:tcPr>
          <w:p>
            <w:pPr>
              <w:spacing w:after="0" w:before="0" w:line="240" w:lineRule="auto"/>
            </w:pPr>
            <w:r/>
            <w:r>
              <w:rPr>
                <w:sz w:val="16"/>
              </w:rPr>
              <w:t>Unreadable dates ask; YYYY-MM-DD only; negatives always rule breaks</w:t>
            </w:r>
          </w:p>
        </w:tc>
        <w:tc>
          <w:tcPr>
            <w:tcW w:type="dxa" w:w="2736"/>
          </w:tcPr>
          <w:p>
            <w:pPr>
              <w:spacing w:after="0" w:before="0" w:line="240" w:lineRule="auto"/>
            </w:pPr>
            <w:r/>
            <w:r>
              <w:rPr>
                <w:sz w:val="16"/>
              </w:rPr>
              <w:t xml:space="preserve">Auto-blank and convert clear formats, ask on ambiguous; </w:t>
            </w:r>
            <w:r>
              <w:rPr>
                <w:rFonts w:ascii="Courier New" w:hAnsi="Courier New" w:eastAsia="Courier New"/>
                <w:sz w:val="13"/>
              </w:rPr>
              <w:t>allow_negative_quantities</w:t>
            </w:r>
          </w:p>
        </w:tc>
        <w:tc>
          <w:tcPr>
            <w:tcW w:type="dxa" w:w="864"/>
          </w:tcPr>
          <w:p>
            <w:pPr>
              <w:spacing w:after="0" w:before="0" w:line="240" w:lineRule="auto"/>
            </w:pPr>
            <w:r/>
            <w:r>
              <w:rPr>
                <w:sz w:val="16"/>
              </w:rPr>
              <w:t>Maulik</w:t>
            </w:r>
          </w:p>
        </w:tc>
        <w:tc>
          <w:tcPr>
            <w:tcW w:type="dxa" w:w="1800"/>
          </w:tcPr>
          <w:p>
            <w:pPr>
              <w:spacing w:after="0" w:before="0" w:line="240" w:lineRule="auto"/>
            </w:pPr>
            <w:r/>
            <w:r>
              <w:rPr>
                <w:sz w:val="16"/>
              </w:rPr>
              <w:t>His two files answered correctly</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944"/>
          </w:tcPr>
          <w:p>
            <w:pPr>
              <w:spacing w:after="0" w:before="0" w:line="240" w:lineRule="auto"/>
            </w:pPr>
            <w:r/>
            <w:r>
              <w:rPr>
                <w:sz w:val="16"/>
              </w:rPr>
              <w:t>Planted errors only</w:t>
            </w:r>
          </w:p>
        </w:tc>
        <w:tc>
          <w:tcPr>
            <w:tcW w:type="dxa" w:w="2736"/>
          </w:tcPr>
          <w:p>
            <w:pPr>
              <w:spacing w:after="0" w:before="0" w:line="240" w:lineRule="auto"/>
            </w:pPr>
            <w:r/>
            <w:r>
              <w:rPr>
                <w:sz w:val="16"/>
              </w:rPr>
              <w:t>His two files, questions and draft rules (sending summaries to ASU allowed), plus public files</w:t>
            </w:r>
          </w:p>
        </w:tc>
        <w:tc>
          <w:tcPr>
            <w:tcW w:type="dxa" w:w="864"/>
          </w:tcPr>
          <w:p>
            <w:pPr>
              <w:spacing w:after="0" w:before="0" w:line="240" w:lineRule="auto"/>
            </w:pPr>
            <w:r/>
            <w:r>
              <w:rPr>
                <w:sz w:val="16"/>
              </w:rPr>
              <w:t>Maulik, Vatsal</w:t>
            </w:r>
          </w:p>
        </w:tc>
        <w:tc>
          <w:tcPr>
            <w:tcW w:type="dxa" w:w="1800"/>
          </w:tcPr>
          <w:p>
            <w:pPr>
              <w:spacing w:after="0" w:before="0" w:line="240" w:lineRule="auto"/>
            </w:pPr>
            <w:r/>
            <w:r>
              <w:rPr>
                <w:sz w:val="16"/>
              </w:rPr>
              <w:t>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944"/>
          </w:tcPr>
          <w:p>
            <w:pPr>
              <w:spacing w:after="0" w:before="0" w:line="240" w:lineRule="auto"/>
            </w:pPr>
            <w:r/>
            <w:r>
              <w:rPr>
                <w:sz w:val="16"/>
              </w:rPr>
              <w:t>One run per task</w:t>
            </w:r>
          </w:p>
        </w:tc>
        <w:tc>
          <w:tcPr>
            <w:tcW w:type="dxa" w:w="2736"/>
          </w:tcPr>
          <w:p>
            <w:pPr>
              <w:spacing w:after="0" w:before="0" w:line="240" w:lineRule="auto"/>
            </w:pPr>
            <w:r/>
            <w:r>
              <w:rPr>
                <w:sz w:val="16"/>
              </w:rPr>
              <w:t>3 runs of DataSage and B2 on held-out</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Mean and range</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Ratings and acceptance test</w:t>
            </w:r>
          </w:p>
        </w:tc>
        <w:tc>
          <w:tcPr>
            <w:tcW w:type="dxa" w:w="1944"/>
          </w:tcPr>
          <w:p>
            <w:pPr>
              <w:spacing w:after="0" w:before="0" w:line="240" w:lineRule="auto"/>
            </w:pPr>
            <w:r/>
            <w:r>
              <w:rPr>
                <w:sz w:val="16"/>
              </w:rPr>
              <w:t>Not started</w:t>
            </w:r>
          </w:p>
        </w:tc>
        <w:tc>
          <w:tcPr>
            <w:tcW w:type="dxa" w:w="2736"/>
          </w:tcPr>
          <w:p>
            <w:pPr>
              <w:spacing w:after="0" w:before="0" w:line="240" w:lineRule="auto"/>
            </w:pPr>
            <w:r/>
            <w:r>
              <w:rPr>
                <w:sz w:val="16"/>
              </w:rPr>
              <w:t>He rates 10 reports (Nov 16 to 20); 3 test files</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 90% accuracy, no corrupted data</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page, cleaning recipes</w:t>
            </w:r>
          </w:p>
        </w:tc>
        <w:tc>
          <w:tcPr>
            <w:tcW w:type="dxa" w:w="1944"/>
          </w:tcPr>
          <w:p>
            <w:pPr>
              <w:spacing w:after="0" w:before="0" w:line="240" w:lineRule="auto"/>
            </w:pPr>
            <w:r/>
            <w:r>
              <w:rPr>
                <w:sz w:val="16"/>
              </w:rPr>
              <w:t>Command line only</w:t>
            </w:r>
          </w:p>
        </w:tc>
        <w:tc>
          <w:tcPr>
            <w:tcW w:type="dxa" w:w="2736"/>
          </w:tcPr>
          <w:p>
            <w:pPr>
              <w:spacing w:after="0" w:before="0" w:line="240" w:lineRule="auto"/>
            </w:pPr>
            <w:r/>
            <w:r>
              <w:rPr>
                <w:sz w:val="16"/>
              </w:rPr>
              <w:t>Upload, approve, read the report in a browser; save and replay an approved plan</w:t>
            </w:r>
          </w:p>
        </w:tc>
        <w:tc>
          <w:tcPr>
            <w:tcW w:type="dxa" w:w="864"/>
          </w:tcPr>
          <w:p>
            <w:pPr>
              <w:spacing w:after="0" w:before="0" w:line="240" w:lineRule="auto"/>
            </w:pPr>
            <w:r/>
            <w:r>
              <w:rPr>
                <w:sz w:val="16"/>
              </w:rPr>
              <w:t>Ritik, Arsha</w:t>
            </w:r>
          </w:p>
        </w:tc>
        <w:tc>
          <w:tcPr>
            <w:tcW w:type="dxa" w:w="1800"/>
          </w:tcPr>
          <w:p>
            <w:pPr>
              <w:spacing w:after="0" w:before="0" w:line="240" w:lineRule="auto"/>
            </w:pPr>
            <w:r/>
            <w:r>
              <w:rPr>
                <w:sz w:val="16"/>
              </w:rPr>
              <w:t>Shown at Demo Day with the replay script</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Review, final report, demo</w:t>
            </w:r>
          </w:p>
        </w:tc>
        <w:tc>
          <w:tcPr>
            <w:tcW w:type="dxa" w:w="1944"/>
          </w:tcPr>
          <w:p>
            <w:pPr>
              <w:spacing w:after="0" w:before="0" w:line="240" w:lineRule="auto"/>
            </w:pPr>
            <w:r/>
            <w:r>
              <w:rPr>
                <w:sz w:val="16"/>
              </w:rPr>
              <w:t>-</w:t>
            </w:r>
          </w:p>
        </w:tc>
        <w:tc>
          <w:tcPr>
            <w:tcW w:type="dxa" w:w="2736"/>
          </w:tcPr>
          <w:p>
            <w:pPr>
              <w:spacing w:after="0" w:before="0" w:line="240" w:lineRule="auto"/>
            </w:pPr>
            <w:r/>
            <w:r>
              <w:rPr>
                <w:sz w:val="16"/>
              </w:rPr>
              <w:t>Review on Nov 20, 2026, 2:00 PM MST (Zoom); final report and slides</w:t>
            </w:r>
          </w:p>
        </w:tc>
        <w:tc>
          <w:tcPr>
            <w:tcW w:type="dxa" w:w="864"/>
          </w:tcPr>
          <w:p>
            <w:pPr>
              <w:spacing w:after="0" w:before="0" w:line="240" w:lineRule="auto"/>
            </w:pPr>
            <w:r/>
            <w:r>
              <w:rPr>
                <w:sz w:val="16"/>
              </w:rPr>
              <w:t>All</w:t>
            </w:r>
          </w:p>
        </w:tc>
        <w:tc>
          <w:tcPr>
            <w:tcW w:type="dxa" w:w="1800"/>
          </w:tcPr>
          <w:p>
            <w:pPr>
              <w:spacing w:after="0" w:before="0" w:line="240" w:lineRule="auto"/>
            </w:pPr>
            <w:r/>
            <w:r>
              <w:rPr>
                <w:sz w:val="16"/>
              </w:rPr>
              <w:t>Submitted</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Code: the 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and demo.</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rPr>
              <w:t>Wrote the Milestone 2 report. Next (Section 6, items 5 to 7): repeated runs, the stakeholder ratings and acceptance test, and with Ritik the code for the Streamlit page and cleaning recipes.</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rPr>
              <w:t>Stakeholder communication and the October 19 meeting notes. Next (item 7): with Arsha, the code for the Streamlit demo page and cleaning recipes.</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rPr>
              <w:t>Reviewed the evaluation results. Next (items 3 and 4): the code for automatic date handling and the refund rule key, and with Vatsal the evaluation on real messy files.</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rPr>
              <w:t>Team coordination. Next (item 4): with Maulik, preparing the real messy files (the stakeholder's two files and public ones) and their rules and reference answers.</w:t>
            </w:r>
          </w:p>
        </w:tc>
        <w:tc>
          <w:tcPr>
            <w:tcW w:type="dxa" w:w="3096"/>
          </w:tcPr>
          <w:p>
            <w:pPr>
              <w:spacing w:after="0" w:before="0" w:line="240" w:lineRule="auto"/>
            </w:pPr>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