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
              <w:bottom w:val="single" w:color="1B4F8A" w:sz="1"/>
              <w:right w:val="single" w:color="1B4F8A" w:sz="1"/>
            </w:tcBorders>
            <w:shd w:fill="0F2E52" w:val="clear"/>
            <w:tcMar>
              <w:top w:type="dxa" w:w="700"/>
              <w:left w:type="dxa" w:w="500"/>
              <w:bottom w:type="dxa" w:w="700"/>
              <w:right w:type="dxa" w:w="500"/>
            </w:tcMar>
          </w:tcPr>
          <w:p>
            <w:pPr>
              <w:spacing w:after="180"/>
            </w:pPr>
            <w:r>
              <w:rPr>
                <w:rFonts w:ascii="Arial" w:cs="Arial" w:eastAsia="Arial" w:hAnsi="Arial"/>
                <w:b/>
                <w:bCs/>
                <w:color w:val="FFFFFF"/>
                <w:sz w:val="68"/>
                <w:szCs w:val="68"/>
              </w:rPr>
              <w:t xml:space="preserve">Audience Intelligence Platform</w:t>
            </w:r>
          </w:p>
          <w:p>
            <w:pPr>
              <w:spacing w:after="180"/>
            </w:pPr>
            <w:r>
              <w:rPr>
                <w:rFonts w:ascii="Arial" w:cs="Arial" w:eastAsia="Arial" w:hAnsi="Arial"/>
                <w:i/>
                <w:iCs/>
                <w:color w:val="A8C8F0"/>
                <w:sz w:val="32"/>
                <w:szCs w:val="32"/>
              </w:rPr>
              <w:t xml:space="preserve">Complete Product Blueprint — Multi-Algorithm ML Edition</w:t>
            </w:r>
          </w:p>
          <w:p>
            <w:pPr>
              <w:spacing w:after="300"/>
            </w:pPr>
            <w:r>
              <w:rPr>
                <w:rFonts w:ascii="Arial" w:cs="Arial" w:eastAsia="Arial" w:hAnsi="Arial"/>
                <w:color w:val="7AAAD0"/>
                <w:sz w:val="24"/>
                <w:szCs w:val="24"/>
              </w:rPr>
              <w:t xml:space="preserve">Inspired by the New York Post Data Labs Audience Segmentation Initiative</w:t>
            </w:r>
          </w:p>
          <w:p>
            <w:pPr>
              <w:spacing w:after="120"/>
            </w:pPr>
            <w:r>
              <w:rPr>
                <w:rFonts w:ascii="Arial" w:cs="Arial" w:eastAsia="Arial" w:hAnsi="Arial"/>
                <w:color w:val="5588AA"/>
                <w:sz w:val="20"/>
                <w:szCs w:val="20"/>
              </w:rPr>
              <w:t xml:space="preserve">Covers: Schema · Business Objective · ML Outputs · KPIs · Data Volumes · Deployment · Inference Strategy · System Users</w:t>
            </w:r>
          </w:p>
          <w:p>
            <w:pPr>
              <w:spacing w:after="0"/>
            </w:pPr>
            <w:r>
              <w:rPr>
                <w:rFonts w:ascii="Arial" w:cs="Arial" w:eastAsia="Arial" w:hAnsi="Arial"/>
                <w:i/>
                <w:iCs/>
                <w:color w:val="4477AA"/>
                <w:sz w:val="20"/>
                <w:szCs w:val="20"/>
              </w:rPr>
              <w:t xml:space="preserve">Version 2.0  |  Confidential — For Prospective Publishing Clients</w:t>
            </w:r>
          </w:p>
        </w:tc>
      </w:tr>
    </w:tbl>
    <w:p>
      <w:pPr>
        <w:spacing w:after="400"/>
      </w:pPr>
    </w:p>
    <w:p>
      <w:pPr>
        <w:spacing w:after="120"/>
      </w:pPr>
      <w:r>
        <w:rPr>
          <w:rFonts w:ascii="Arial" w:cs="Arial" w:eastAsia="Arial" w:hAnsi="Arial"/>
          <w:b/>
          <w:bCs/>
          <w:color w:val="0F2E52"/>
          <w:sz w:val="28"/>
          <w:szCs w:val="28"/>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0"/>
        <w:gridCol w:w="1760"/>
      </w:tblGrid>
      <w:tr>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1.  Business Objective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right"/>
            </w:pPr>
            <w:r>
              <w:rPr>
                <w:rFonts w:ascii="Arial" w:cs="Arial" w:eastAsia="Arial" w:hAnsi="Arial"/>
                <w:b w:val="false"/>
                <w:bCs w:val="false"/>
                <w:i w:val="false"/>
                <w:iCs w:val="false"/>
                <w:color w:val="444455"/>
                <w:sz w:val="20"/>
                <w:szCs w:val="20"/>
              </w:rPr>
              <w:t xml:space="preserve">3</w:t>
            </w:r>
          </w:p>
        </w:tc>
      </w:tr>
      <w:tr>
        <w:tc>
          <w:tcPr>
            <w:tcW w:type="dxa" w:w="7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2.  Complete Schema — All 9 Tables</w:t>
            </w:r>
          </w:p>
        </w:tc>
        <w:tc>
          <w:tcPr>
            <w:tcW w:type="dxa" w:w="1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right"/>
            </w:pPr>
            <w:r>
              <w:rPr>
                <w:rFonts w:ascii="Arial" w:cs="Arial" w:eastAsia="Arial" w:hAnsi="Arial"/>
                <w:b w:val="false"/>
                <w:bCs w:val="false"/>
                <w:i w:val="false"/>
                <w:iCs w:val="false"/>
                <w:color w:val="444455"/>
                <w:sz w:val="20"/>
                <w:szCs w:val="20"/>
              </w:rPr>
              <w:t xml:space="preserve">4</w:t>
            </w:r>
          </w:p>
        </w:tc>
      </w:tr>
      <w:tr>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3.  ML Strategy — Algorithms, Cluster Selection &amp; Optimisation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right"/>
            </w:pPr>
            <w:r>
              <w:rPr>
                <w:rFonts w:ascii="Arial" w:cs="Arial" w:eastAsia="Arial" w:hAnsi="Arial"/>
                <w:b w:val="false"/>
                <w:bCs w:val="false"/>
                <w:i w:val="false"/>
                <w:iCs w:val="false"/>
                <w:color w:val="444455"/>
                <w:sz w:val="20"/>
                <w:szCs w:val="20"/>
              </w:rPr>
              <w:t xml:space="preserve">12</w:t>
            </w:r>
          </w:p>
        </w:tc>
      </w:tr>
      <w:tr>
        <w:tc>
          <w:tcPr>
            <w:tcW w:type="dxa" w:w="7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    3.1  Algorithm Comparison &amp; Selection Framework</w:t>
            </w:r>
          </w:p>
        </w:tc>
        <w:tc>
          <w:tcPr>
            <w:tcW w:type="dxa" w:w="1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right"/>
            </w:pPr>
            <w:r>
              <w:rPr>
                <w:rFonts w:ascii="Arial" w:cs="Arial" w:eastAsia="Arial" w:hAnsi="Arial"/>
                <w:b w:val="false"/>
                <w:bCs w:val="false"/>
                <w:i w:val="false"/>
                <w:iCs w:val="false"/>
                <w:color w:val="444455"/>
                <w:sz w:val="20"/>
                <w:szCs w:val="20"/>
              </w:rPr>
              <w:t xml:space="preserve">12</w:t>
            </w:r>
          </w:p>
        </w:tc>
      </w:tr>
      <w:tr>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    3.2  Optimal Cluster Count Selection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right"/>
            </w:pPr>
            <w:r>
              <w:rPr>
                <w:rFonts w:ascii="Arial" w:cs="Arial" w:eastAsia="Arial" w:hAnsi="Arial"/>
                <w:b w:val="false"/>
                <w:bCs w:val="false"/>
                <w:i w:val="false"/>
                <w:iCs w:val="false"/>
                <w:color w:val="444455"/>
                <w:sz w:val="20"/>
                <w:szCs w:val="20"/>
              </w:rPr>
              <w:t xml:space="preserve">13</w:t>
            </w:r>
          </w:p>
        </w:tc>
      </w:tr>
      <w:tr>
        <w:tc>
          <w:tcPr>
            <w:tcW w:type="dxa" w:w="7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    3.3  Recommended Algorithm Pipeline</w:t>
            </w:r>
          </w:p>
        </w:tc>
        <w:tc>
          <w:tcPr>
            <w:tcW w:type="dxa" w:w="1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right"/>
            </w:pPr>
            <w:r>
              <w:rPr>
                <w:rFonts w:ascii="Arial" w:cs="Arial" w:eastAsia="Arial" w:hAnsi="Arial"/>
                <w:b w:val="false"/>
                <w:bCs w:val="false"/>
                <w:i w:val="false"/>
                <w:iCs w:val="false"/>
                <w:color w:val="444455"/>
                <w:sz w:val="20"/>
                <w:szCs w:val="20"/>
              </w:rPr>
              <w:t xml:space="preserve">14</w:t>
            </w:r>
          </w:p>
        </w:tc>
      </w:tr>
      <w:tr>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    3.4  Expected ML Outputs &amp; Personas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right"/>
            </w:pPr>
            <w:r>
              <w:rPr>
                <w:rFonts w:ascii="Arial" w:cs="Arial" w:eastAsia="Arial" w:hAnsi="Arial"/>
                <w:b w:val="false"/>
                <w:bCs w:val="false"/>
                <w:i w:val="false"/>
                <w:iCs w:val="false"/>
                <w:color w:val="444455"/>
                <w:sz w:val="20"/>
                <w:szCs w:val="20"/>
              </w:rPr>
              <w:t xml:space="preserve">15</w:t>
            </w:r>
          </w:p>
        </w:tc>
      </w:tr>
      <w:tr>
        <w:tc>
          <w:tcPr>
            <w:tcW w:type="dxa" w:w="7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4.  Expected KPIs</w:t>
            </w:r>
          </w:p>
        </w:tc>
        <w:tc>
          <w:tcPr>
            <w:tcW w:type="dxa" w:w="1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right"/>
            </w:pPr>
            <w:r>
              <w:rPr>
                <w:rFonts w:ascii="Arial" w:cs="Arial" w:eastAsia="Arial" w:hAnsi="Arial"/>
                <w:b w:val="false"/>
                <w:bCs w:val="false"/>
                <w:i w:val="false"/>
                <w:iCs w:val="false"/>
                <w:color w:val="444455"/>
                <w:sz w:val="20"/>
                <w:szCs w:val="20"/>
              </w:rPr>
              <w:t xml:space="preserve">17</w:t>
            </w:r>
          </w:p>
        </w:tc>
      </w:tr>
      <w:tr>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5.  Data Volume Expectations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right"/>
            </w:pPr>
            <w:r>
              <w:rPr>
                <w:rFonts w:ascii="Arial" w:cs="Arial" w:eastAsia="Arial" w:hAnsi="Arial"/>
                <w:b w:val="false"/>
                <w:bCs w:val="false"/>
                <w:i w:val="false"/>
                <w:iCs w:val="false"/>
                <w:color w:val="444455"/>
                <w:sz w:val="20"/>
                <w:szCs w:val="20"/>
              </w:rPr>
              <w:t xml:space="preserve">18</w:t>
            </w:r>
          </w:p>
        </w:tc>
      </w:tr>
      <w:tr>
        <w:tc>
          <w:tcPr>
            <w:tcW w:type="dxa" w:w="7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6.  Deployment Expectations</w:t>
            </w:r>
          </w:p>
        </w:tc>
        <w:tc>
          <w:tcPr>
            <w:tcW w:type="dxa" w:w="1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right"/>
            </w:pPr>
            <w:r>
              <w:rPr>
                <w:rFonts w:ascii="Arial" w:cs="Arial" w:eastAsia="Arial" w:hAnsi="Arial"/>
                <w:b w:val="false"/>
                <w:bCs w:val="false"/>
                <w:i w:val="false"/>
                <w:iCs w:val="false"/>
                <w:color w:val="444455"/>
                <w:sz w:val="20"/>
                <w:szCs w:val="20"/>
              </w:rPr>
              <w:t xml:space="preserve">19</w:t>
            </w:r>
          </w:p>
        </w:tc>
      </w:tr>
      <w:tr>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7.  Batch vs Real-Time Inference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right"/>
            </w:pPr>
            <w:r>
              <w:rPr>
                <w:rFonts w:ascii="Arial" w:cs="Arial" w:eastAsia="Arial" w:hAnsi="Arial"/>
                <w:b w:val="false"/>
                <w:bCs w:val="false"/>
                <w:i w:val="false"/>
                <w:iCs w:val="false"/>
                <w:color w:val="444455"/>
                <w:sz w:val="20"/>
                <w:szCs w:val="20"/>
              </w:rPr>
              <w:t xml:space="preserve">21</w:t>
            </w:r>
          </w:p>
        </w:tc>
      </w:tr>
      <w:tr>
        <w:tc>
          <w:tcPr>
            <w:tcW w:type="dxa" w:w="7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8.  Expected Users of the System</w:t>
            </w:r>
          </w:p>
        </w:tc>
        <w:tc>
          <w:tcPr>
            <w:tcW w:type="dxa" w:w="1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right"/>
            </w:pPr>
            <w:r>
              <w:rPr>
                <w:rFonts w:ascii="Arial" w:cs="Arial" w:eastAsia="Arial" w:hAnsi="Arial"/>
                <w:b w:val="false"/>
                <w:bCs w:val="false"/>
                <w:i w:val="false"/>
                <w:iCs w:val="false"/>
                <w:color w:val="444455"/>
                <w:sz w:val="20"/>
                <w:szCs w:val="20"/>
              </w:rPr>
              <w:t xml:space="preserve">22</w:t>
            </w:r>
          </w:p>
        </w:tc>
      </w:tr>
    </w:tbl>
    <w:p>
      <w:r>
        <w:br w:type="page"/>
      </w:r>
    </w:p>
    <w:p>
      <w:pPr>
        <w:pStyle w:val="Heading1"/>
        <w:pBdr>
          <w:bottom w:val="single" w:color="1B4F8A" w:sz="8" w:space="4"/>
        </w:pBdr>
        <w:spacing w:after="200" w:before="400"/>
      </w:pPr>
      <w:r>
        <w:rPr>
          <w:rFonts w:ascii="Arial" w:cs="Arial" w:eastAsia="Arial" w:hAnsi="Arial"/>
          <w:b/>
          <w:bCs/>
          <w:color w:val="0F2E52"/>
          <w:sz w:val="40"/>
          <w:szCs w:val="40"/>
        </w:rPr>
        <w:t xml:space="preserve">1. Business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
              <w:bottom w:val="single" w:color="1B4F8A" w:sz="1"/>
              <w:right w:val="single" w:color="1B4F8A" w:sz="1"/>
            </w:tcBorders>
            <w:shd w:fill="EAF1FB" w:val="clear"/>
            <w:tcMar>
              <w:top w:type="dxa" w:w="140"/>
              <w:left w:type="dxa" w:w="200"/>
              <w:bottom w:type="dxa" w:w="140"/>
              <w:right w:type="dxa" w:w="200"/>
            </w:tcMar>
          </w:tcPr>
          <w:p>
            <w:pPr>
              <w:spacing w:after="60"/>
            </w:pPr>
            <w:r>
              <w:rPr>
                <w:rFonts w:ascii="Arial" w:cs="Arial" w:eastAsia="Arial" w:hAnsi="Arial"/>
                <w:b/>
                <w:bCs/>
                <w:color w:val="0F2E52"/>
                <w:sz w:val="22"/>
                <w:szCs w:val="22"/>
              </w:rPr>
              <w:t xml:space="preserve">Core Problem Statement</w:t>
            </w:r>
          </w:p>
          <w:p>
            <w:pPr>
              <w:spacing w:after="0"/>
            </w:pPr>
            <w:r>
              <w:rPr>
                <w:rFonts w:ascii="Arial" w:cs="Arial" w:eastAsia="Arial" w:hAnsi="Arial"/>
                <w:color w:val="444455"/>
                <w:sz w:val="20"/>
                <w:szCs w:val="20"/>
              </w:rPr>
              <w:t xml:space="preserve">Digital publishers hold massive reader datasets but monetise them poorly. Traditional audience segments are editorial guesses — defined by humans, not data. Newsletters reach the wrong readers, ads serve low-intent users, subscription upsells are untargeted, and high-value readers are indistinguishable from low-value ones. Revenue is lost at every touchpoint.</w:t>
            </w:r>
          </w:p>
        </w:tc>
      </w:tr>
    </w:tbl>
    <w:p>
      <w:pPr>
        <w:spacing w:after="160"/>
      </w:pPr>
    </w:p>
    <w:p>
      <w:pPr>
        <w:pStyle w:val="Heading2"/>
        <w:spacing w:after="160" w:before="300"/>
      </w:pPr>
      <w:r>
        <w:rPr>
          <w:rFonts w:ascii="Arial" w:cs="Arial" w:eastAsia="Arial" w:hAnsi="Arial"/>
          <w:b/>
          <w:bCs/>
          <w:color w:val="1B4F8A"/>
          <w:sz w:val="30"/>
          <w:szCs w:val="30"/>
        </w:rPr>
        <w:t xml:space="preserve">1.1  Primary Revenue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rPr>
          <w:tblHeader/>
        </w:trPr>
        <w:tc>
          <w:tcPr>
            <w:tcW w:type="dxa" w:w="20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Goal</w:t>
            </w:r>
          </w:p>
        </w:tc>
        <w:tc>
          <w:tcPr>
            <w:tcW w:type="dxa" w:w="26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Mechanism</w:t>
            </w:r>
          </w:p>
        </w:tc>
        <w:tc>
          <w:tcPr>
            <w:tcW w:type="dxa" w:w="24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Target</w:t>
            </w:r>
          </w:p>
        </w:tc>
        <w:tc>
          <w:tcPr>
            <w:tcW w:type="dxa" w:w="23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Primary Signal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Subscription Revenue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Identify Subscription-Focused readers before they churn. Trigger targeted upsell at the right moment.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+15–25% subscription conversion rate vs non-personalised baseline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Braintree + Sailthru + Zephr</w:t>
            </w:r>
          </w:p>
        </w:tc>
      </w:tr>
      <w:tr>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Ad Revenue</w:t>
            </w:r>
          </w:p>
        </w:tc>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Serve advertisers verified high-intent segments commanding premium CPMs.</w:t>
            </w:r>
          </w:p>
        </w:tc>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+20–40% CPM uplift on segmented vs run-of-site inventory</w:t>
            </w:r>
          </w:p>
        </w:tc>
        <w:tc>
          <w:tcPr>
            <w:tcW w:type="dxa" w:w="2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GA4 + Trackonomics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Newsletter Engagement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Personalise newsletter content per persona — each reader receives articles matching their proven content affinity.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+30–50% CTR improvement on segmented newsletters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Sailthru + GA4</w:t>
            </w:r>
          </w:p>
        </w:tc>
      </w:tr>
      <w:tr>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Churn Reduction</w:t>
            </w:r>
          </w:p>
        </w:tc>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Identify Low Engager and dormant users early, trigger re-engagement before they leave.</w:t>
            </w:r>
          </w:p>
        </w:tc>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-20% annual churn rate on identified at-risk segments</w:t>
            </w:r>
          </w:p>
        </w:tc>
        <w:tc>
          <w:tcPr>
            <w:tcW w:type="dxa" w:w="2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Zephr + GA4 recency</w:t>
            </w:r>
          </w:p>
        </w:tc>
      </w:tr>
    </w:tbl>
    <w:p>
      <w:pPr>
        <w:spacing w:after="160"/>
      </w:pPr>
    </w:p>
    <w:p>
      <w:pPr>
        <w:pStyle w:val="Heading2"/>
        <w:spacing w:after="160" w:before="300"/>
      </w:pPr>
      <w:r>
        <w:rPr>
          <w:rFonts w:ascii="Arial" w:cs="Arial" w:eastAsia="Arial" w:hAnsi="Arial"/>
          <w:b/>
          <w:bCs/>
          <w:color w:val="1B4F8A"/>
          <w:sz w:val="30"/>
          <w:szCs w:val="30"/>
        </w:rPr>
        <w:t xml:space="preserve">1.2  Secondary Goals</w:t>
      </w:r>
    </w:p>
    <w:p>
      <w:pPr>
        <w:pStyle w:val="ListParagraph"/>
        <w:numPr>
          <w:ilvl w:val="0"/>
          <w:numId w:val="2"/>
        </w:numPr>
        <w:spacing w:after="80"/>
      </w:pPr>
      <w:r>
        <w:rPr>
          <w:rFonts w:ascii="Arial" w:cs="Arial" w:eastAsia="Arial" w:hAnsi="Arial"/>
          <w:color w:val="444455"/>
          <w:sz w:val="21"/>
          <w:szCs w:val="21"/>
        </w:rPr>
        <w:t xml:space="preserve">Build a reusable, vendor-agnostic product deployable to any digital publisher regardless of their existing tech stack.</w:t>
      </w:r>
    </w:p>
    <w:p>
      <w:pPr>
        <w:pStyle w:val="ListParagraph"/>
        <w:numPr>
          <w:ilvl w:val="0"/>
          <w:numId w:val="2"/>
        </w:numPr>
        <w:spacing w:after="80"/>
      </w:pPr>
      <w:r>
        <w:rPr>
          <w:rFonts w:ascii="Arial" w:cs="Arial" w:eastAsia="Arial" w:hAnsi="Arial"/>
          <w:color w:val="444455"/>
          <w:sz w:val="21"/>
          <w:szCs w:val="21"/>
        </w:rPr>
        <w:t xml:space="preserve">Replace intuition-driven editorial segmentation with ML clustering that discovers natural audience groups from actual behaviour.</w:t>
      </w:r>
    </w:p>
    <w:p>
      <w:pPr>
        <w:pStyle w:val="ListParagraph"/>
        <w:numPr>
          <w:ilvl w:val="0"/>
          <w:numId w:val="2"/>
        </w:numPr>
        <w:spacing w:after="80"/>
      </w:pPr>
      <w:r>
        <w:rPr>
          <w:rFonts w:ascii="Arial" w:cs="Arial" w:eastAsia="Arial" w:hAnsi="Arial"/>
          <w:color w:val="444455"/>
          <w:sz w:val="21"/>
          <w:szCs w:val="21"/>
        </w:rPr>
        <w:t xml:space="preserve">Create adaptive segments — personas evolve automatically as new data is ingested, no manual reconfiguration needed.</w:t>
      </w:r>
    </w:p>
    <w:p>
      <w:pPr>
        <w:pStyle w:val="ListParagraph"/>
        <w:numPr>
          <w:ilvl w:val="0"/>
          <w:numId w:val="2"/>
        </w:numPr>
        <w:spacing w:after="80"/>
      </w:pPr>
      <w:r>
        <w:rPr>
          <w:rFonts w:ascii="Arial" w:cs="Arial" w:eastAsia="Arial" w:hAnsi="Arial"/>
          <w:color w:val="444455"/>
          <w:sz w:val="21"/>
          <w:szCs w:val="21"/>
        </w:rPr>
        <w:t xml:space="preserve">Surface hidden micro-segments that editorial teams would never define manually, unlocking net-new revenue opportunities.</w:t>
      </w:r>
    </w:p>
    <w:p>
      <w:pPr>
        <w:pStyle w:val="ListParagraph"/>
        <w:numPr>
          <w:ilvl w:val="0"/>
          <w:numId w:val="2"/>
        </w:numPr>
        <w:spacing w:after="80"/>
      </w:pPr>
      <w:r>
        <w:rPr>
          <w:rFonts w:ascii="Arial" w:cs="Arial" w:eastAsia="Arial" w:hAnsi="Arial"/>
          <w:color w:val="444455"/>
          <w:sz w:val="21"/>
          <w:szCs w:val="21"/>
        </w:rPr>
        <w:t xml:space="preserve">Provide a single unified view of each reader across web, email, push, social, and commerce touchpoints.</w:t>
      </w:r>
    </w:p>
    <w:p>
      <w:pPr>
        <w:pStyle w:val="ListParagraph"/>
        <w:numPr>
          <w:ilvl w:val="0"/>
          <w:numId w:val="2"/>
        </w:numPr>
        <w:spacing w:after="80"/>
      </w:pPr>
      <w:r>
        <w:rPr>
          <w:rFonts w:ascii="Arial" w:cs="Arial" w:eastAsia="Arial" w:hAnsi="Arial"/>
          <w:color w:val="444455"/>
          <w:sz w:val="21"/>
          <w:szCs w:val="21"/>
        </w:rPr>
        <w:t xml:space="preserve">Support flexible cluster counts — 5 clusters for small publishers, 12+ for large publishers — without re-architecting the pipeline.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200" w:sz="1"/>
              <w:left w:val="single" w:color="9A6200" w:sz="1"/>
              <w:bottom w:val="single" w:color="9A6200" w:sz="1"/>
              <w:right w:val="single" w:color="9A6200" w:sz="1"/>
            </w:tcBorders>
            <w:shd w:fill="FEF9E7" w:val="clear"/>
            <w:tcMar>
              <w:top w:type="dxa" w:w="140"/>
              <w:left w:type="dxa" w:w="200"/>
              <w:bottom w:type="dxa" w:w="140"/>
              <w:right w:type="dxa" w:w="200"/>
            </w:tcMar>
          </w:tcPr>
          <w:p>
            <w:pPr>
              <w:spacing w:after="60"/>
            </w:pPr>
            <w:r>
              <w:rPr>
                <w:rFonts w:ascii="Arial" w:cs="Arial" w:eastAsia="Arial" w:hAnsi="Arial"/>
                <w:b/>
                <w:bCs/>
                <w:color w:val="0F2E52"/>
                <w:sz w:val="22"/>
                <w:szCs w:val="22"/>
              </w:rPr>
              <w:t xml:space="preserve">NYPost Validation</w:t>
            </w:r>
          </w:p>
          <w:p>
            <w:pPr>
              <w:spacing w:after="0"/>
            </w:pPr>
            <w:r>
              <w:rPr>
                <w:rFonts w:ascii="Arial" w:cs="Arial" w:eastAsia="Arial" w:hAnsi="Arial"/>
                <w:color w:val="444455"/>
                <w:sz w:val="20"/>
                <w:szCs w:val="20"/>
              </w:rPr>
              <w:t xml:space="preserve">This platform is directly inspired by the New York Post Data Labs initiative which segmented 66 million users across 8 source systems using Bisecting K-Means, discovering 9 personas. This blueprint extends that foundation by adding a multi-algorithm evaluation framework so your product is not locked to a single clustering approach and can optimise cluster quality for each client's unique data profile.</w:t>
            </w:r>
          </w:p>
        </w:tc>
      </w:tr>
    </w:tbl>
    <w:p>
      <w:r>
        <w:br w:type="page"/>
      </w:r>
    </w:p>
    <w:p>
      <w:pPr>
        <w:pStyle w:val="Heading1"/>
        <w:pBdr>
          <w:bottom w:val="single" w:color="1B4F8A" w:sz="8" w:space="4"/>
        </w:pBdr>
        <w:spacing w:after="200" w:before="400"/>
      </w:pPr>
      <w:r>
        <w:rPr>
          <w:rFonts w:ascii="Arial" w:cs="Arial" w:eastAsia="Arial" w:hAnsi="Arial"/>
          <w:b/>
          <w:bCs/>
          <w:color w:val="0F2E52"/>
          <w:sz w:val="40"/>
          <w:szCs w:val="40"/>
        </w:rPr>
        <w:t xml:space="preserve">2. Complete Schema — All Tables &amp; Fields</w:t>
      </w:r>
    </w:p>
    <w:p>
      <w:pPr>
        <w:spacing w:after="160"/>
      </w:pPr>
      <w:r>
        <w:rPr>
          <w:rFonts w:ascii="Arial" w:cs="Arial" w:eastAsia="Arial" w:hAnsi="Arial"/>
          <w:b w:val="false"/>
          <w:bCs w:val="false"/>
          <w:i w:val="false"/>
          <w:iCs w:val="false"/>
          <w:color w:val="444455"/>
          <w:sz w:val="21"/>
          <w:szCs w:val="21"/>
        </w:rPr>
        <w:t xml:space="preserve">The platform uses 9 tables: 8 source tables and 1 output feature store. All connect through user_id, the universal identifier issued by Zephr at registration.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7F9FA" w:val="clear"/>
            <w:tcMar>
              <w:top w:type="dxa" w:w="140"/>
              <w:left w:type="dxa" w:w="200"/>
              <w:bottom w:type="dxa" w:w="140"/>
              <w:right w:type="dxa" w:w="200"/>
            </w:tcMar>
          </w:tcPr>
          <w:p>
            <w:pPr>
              <w:spacing w:after="60"/>
            </w:pPr>
            <w:r>
              <w:rPr>
                <w:rFonts w:ascii="Arial" w:cs="Arial" w:eastAsia="Arial" w:hAnsi="Arial"/>
                <w:b/>
                <w:bCs/>
                <w:color w:val="0F2E52"/>
                <w:sz w:val="22"/>
                <w:szCs w:val="22"/>
              </w:rPr>
              <w:t xml:space="preserve">Role Legend</w:t>
            </w:r>
          </w:p>
          <w:p>
            <w:pPr>
              <w:spacing w:after="0"/>
            </w:pPr>
            <w:r>
              <w:rPr>
                <w:rFonts w:ascii="Arial" w:cs="Arial" w:eastAsia="Arial" w:hAnsi="Arial"/>
                <w:color w:val="444455"/>
                <w:sz w:val="20"/>
                <w:szCs w:val="20"/>
              </w:rPr>
              <w:t xml:space="preserve">PK = Primary Key  |  FK = Foreign Key  |  ML Feature = direct input to clustering algorithm  |  Derived = computed from other fields  |  Metadata = stored for reference, not in ML matrix</w:t>
            </w:r>
          </w:p>
        </w:tc>
      </w:tr>
    </w:tbl>
    <w:p>
      <w:pPr>
        <w:spacing w:after="200"/>
      </w:pPr>
    </w:p>
    <w:p>
      <w:pPr>
        <w:pStyle w:val="Heading2"/>
        <w:spacing w:after="160" w:before="300"/>
      </w:pPr>
      <w:r>
        <w:rPr>
          <w:rFonts w:ascii="Arial" w:cs="Arial" w:eastAsia="Arial" w:hAnsi="Arial"/>
          <w:b/>
          <w:bCs/>
          <w:color w:val="1B4F8A"/>
          <w:sz w:val="30"/>
          <w:szCs w:val="30"/>
        </w:rPr>
        <w:t xml:space="preserve">2.1  zephr_users — Master Identity (Golden Record)</w:t>
      </w:r>
    </w:p>
    <w:p>
      <w:pPr>
        <w:spacing w:after="160"/>
      </w:pPr>
      <w:r>
        <w:rPr>
          <w:rFonts w:ascii="Arial" w:cs="Arial" w:eastAsia="Arial" w:hAnsi="Arial"/>
          <w:b w:val="false"/>
          <w:bCs w:val="false"/>
          <w:i w:val="false"/>
          <w:iCs w:val="false"/>
          <w:color w:val="444455"/>
          <w:sz w:val="21"/>
          <w:szCs w:val="21"/>
        </w:rPr>
        <w:t xml:space="preserve">Join key: </w:t>
      </w:r>
      <w:r>
        <w:rPr>
          <w:rFonts w:ascii="Arial" w:cs="Arial" w:eastAsia="Arial" w:hAnsi="Arial"/>
          <w:b/>
          <w:bCs/>
          <w:i w:val="false"/>
          <w:iCs w:val="false"/>
          <w:color w:val="444455"/>
          <w:sz w:val="21"/>
          <w:szCs w:val="21"/>
        </w:rPr>
        <w:t xml:space="preserve">user_id — primary key, all other tables reference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Field Name</w:t>
            </w:r>
          </w:p>
        </w:tc>
        <w:tc>
          <w:tcPr>
            <w:tcW w:type="dxa" w:w="1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Data Type</w:t>
            </w:r>
          </w:p>
        </w:tc>
        <w:tc>
          <w:tcPr>
            <w:tcW w:type="dxa" w:w="12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Role</w:t>
            </w:r>
          </w:p>
        </w:tc>
        <w:tc>
          <w:tcPr>
            <w:tcW w:type="dxa" w:w="41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user_id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PK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Universal unique identifier. Issued by Zephr at registration. The single key that ties all 8 sources together.</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email</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VARCHAR(255)</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E6655"/>
                <w:sz w:val="18"/>
                <w:szCs w:val="18"/>
              </w:rPr>
              <w:t xml:space="preserve">FK</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User email. Join key to Sailthru. Unique, not null, stored lowercase.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hashed_email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VARCHAR(64)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E6655"/>
                <w:sz w:val="18"/>
                <w:szCs w:val="18"/>
              </w:rPr>
              <w:t xml:space="preserve">FK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SHA-256 hash of email. Join key to Transunion for privacy-safe demographic enrichment.</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registration_date</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TIMESTAMP</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Timestamp of first account creation. Immutable. Used to derive account_age_days.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account_age_days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DERIVED: days since registration_date. Long tenure strongly correlates with Loyalist persona.</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is_new_user</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BOOLEAN</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DERIVED: TRUE if account_age_days &lt; 30. New users excluded from clustering run.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first_name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VARCHAR(100)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Registration first name. Newsletter personalisation only — not in ML features.</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last_name</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VARCHAR(100)</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Registration last name. PII — masked in analytics environments.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address_state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VARCHAR(2)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US state from registration. Geographic reporting and regional ad targeting.</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address_zip</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VARCHAR(10)</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ZIP code. Hyperlocal content targeting and home delivery eligibility.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subscription_entitlements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VARCHAR(50)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Active plan from Zephr entitlement engine. Cross-validated against Braintree.</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last_login</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TIMESTAMP</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Most recent login. Recency signal. Dormant registered users identified here first.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is_registered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Always TRUE in this table. Filter flag distinguishing registered vs anonymous GA4 users.</w:t>
            </w:r>
          </w:p>
        </w:tc>
      </w:tr>
    </w:tbl>
    <w:p>
      <w:pPr>
        <w:spacing w:after="160"/>
      </w:pPr>
    </w:p>
    <w:p>
      <w:pPr>
        <w:pStyle w:val="Heading2"/>
        <w:spacing w:after="160" w:before="300"/>
      </w:pPr>
      <w:r>
        <w:rPr>
          <w:rFonts w:ascii="Arial" w:cs="Arial" w:eastAsia="Arial" w:hAnsi="Arial"/>
          <w:b/>
          <w:bCs/>
          <w:color w:val="1B4F8A"/>
          <w:sz w:val="30"/>
          <w:szCs w:val="30"/>
        </w:rPr>
        <w:t xml:space="preserve">2.2  ga4_events — Web Behaviour</w:t>
      </w:r>
    </w:p>
    <w:p>
      <w:pPr>
        <w:spacing w:after="160"/>
      </w:pPr>
      <w:r>
        <w:rPr>
          <w:rFonts w:ascii="Arial" w:cs="Arial" w:eastAsia="Arial" w:hAnsi="Arial"/>
          <w:b w:val="false"/>
          <w:bCs w:val="false"/>
          <w:i w:val="false"/>
          <w:iCs w:val="false"/>
          <w:color w:val="444455"/>
          <w:sz w:val="21"/>
          <w:szCs w:val="21"/>
        </w:rPr>
        <w:t xml:space="preserve">Join key: </w:t>
      </w:r>
      <w:r>
        <w:rPr>
          <w:rFonts w:ascii="Arial" w:cs="Arial" w:eastAsia="Arial" w:hAnsi="Arial"/>
          <w:b/>
          <w:bCs/>
          <w:i w:val="false"/>
          <w:iCs w:val="false"/>
          <w:color w:val="444455"/>
          <w:sz w:val="21"/>
          <w:szCs w:val="21"/>
        </w:rPr>
        <w:t xml:space="preserve">user_pseudo_id → user_id via bridge table (resolved on login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Field Name</w:t>
            </w:r>
          </w:p>
        </w:tc>
        <w:tc>
          <w:tcPr>
            <w:tcW w:type="dxa" w:w="1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Data Type</w:t>
            </w:r>
          </w:p>
        </w:tc>
        <w:tc>
          <w:tcPr>
            <w:tcW w:type="dxa" w:w="12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Role</w:t>
            </w:r>
          </w:p>
        </w:tc>
        <w:tc>
          <w:tcPr>
            <w:tcW w:type="dxa" w:w="41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event_id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PK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Unique event identifier generated at ingestion.</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user_pseudo_id</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VARCHAR(64)</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E6655"/>
                <w:sz w:val="18"/>
                <w:szCs w:val="18"/>
              </w:rPr>
              <w:t xml:space="preserve">FK</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GA4 anonymous cookie ID. Resolved to user_id via bridge table when user logs 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user_id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E6655"/>
                <w:sz w:val="18"/>
                <w:szCs w:val="18"/>
              </w:rPr>
              <w:t xml:space="preserve">FK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Resolved universal identifier. NULL for users who have never logged in.</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event_date</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DATE</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Event date YYYYMMDD (GA4 BigQuery format). Used for active_days and days_since_last_visit.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event_name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VARCHAR(50)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GA4 event type: page_view, session_start, scroll, click. Pipeline filters to page_view.</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session_id</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VARCHAR(128)</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Session identifier. Groups events for bounce rate and pages-per-session aggregation.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device_category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desktop / mobile / tablet. Aggregated to mobile_ratio and desktop_ratio features.</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page_category</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ENUM</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sports, entertainment, celebrity, business, lifestyle, world_news, opinion, shopping, us_news, page_six. Produces ratio_* features.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page_path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VARCHAR(255)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Full URL path. Used to assign page_category when not pre-tagged by CMS.</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session_duration_sec</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Session length in seconds. Aggregated to avg_session_duration.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is_bounce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Single page view under 10 seconds. Aggregated to bounce_rate. Primary Low Engager signal.</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country</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VARCHAR(50)</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GA4 geo country. Filter to target market.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state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VARCHAR(2)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GA4 geo state. Cross-validated against Zephr address_state.</w:t>
            </w:r>
          </w:p>
        </w:tc>
      </w:tr>
    </w:tbl>
    <w:p>
      <w:pPr>
        <w:spacing w:after="160"/>
      </w:pPr>
    </w:p>
    <w:p>
      <w:r>
        <w:br w:type="page"/>
      </w:r>
    </w:p>
    <w:p>
      <w:pPr>
        <w:pStyle w:val="Heading2"/>
        <w:spacing w:after="160" w:before="300"/>
      </w:pPr>
      <w:r>
        <w:rPr>
          <w:rFonts w:ascii="Arial" w:cs="Arial" w:eastAsia="Arial" w:hAnsi="Arial"/>
          <w:b/>
          <w:bCs/>
          <w:color w:val="1B4F8A"/>
          <w:sz w:val="30"/>
          <w:szCs w:val="30"/>
        </w:rPr>
        <w:t xml:space="preserve">2.3  braintree_subscriptions — Payments</w:t>
      </w:r>
    </w:p>
    <w:p>
      <w:pPr>
        <w:spacing w:after="160"/>
      </w:pPr>
      <w:r>
        <w:rPr>
          <w:rFonts w:ascii="Arial" w:cs="Arial" w:eastAsia="Arial" w:hAnsi="Arial"/>
          <w:b w:val="false"/>
          <w:bCs w:val="false"/>
          <w:i w:val="false"/>
          <w:iCs w:val="false"/>
          <w:color w:val="444455"/>
          <w:sz w:val="21"/>
          <w:szCs w:val="21"/>
        </w:rPr>
        <w:t xml:space="preserve">Join key: </w:t>
      </w:r>
      <w:r>
        <w:rPr>
          <w:rFonts w:ascii="Arial" w:cs="Arial" w:eastAsia="Arial" w:hAnsi="Arial"/>
          <w:b/>
          <w:bCs/>
          <w:i w:val="false"/>
          <w:iCs w:val="false"/>
          <w:color w:val="444455"/>
          <w:sz w:val="21"/>
          <w:szCs w:val="21"/>
        </w:rPr>
        <w:t xml:space="preserve">customer_id → user_id (set equal at subscription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Field Name</w:t>
            </w:r>
          </w:p>
        </w:tc>
        <w:tc>
          <w:tcPr>
            <w:tcW w:type="dxa" w:w="1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Data Type</w:t>
            </w:r>
          </w:p>
        </w:tc>
        <w:tc>
          <w:tcPr>
            <w:tcW w:type="dxa" w:w="12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Role</w:t>
            </w:r>
          </w:p>
        </w:tc>
        <w:tc>
          <w:tcPr>
            <w:tcW w:type="dxa" w:w="41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subscription_id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PK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Unique Braintree subscription identifier.</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customer_id</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UUID</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E6655"/>
                <w:sz w:val="18"/>
                <w:szCs w:val="18"/>
              </w:rPr>
              <w:t xml:space="preserve">FK</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 user_id. Set programmatically at subscription creation from Zephr registration flow.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plan_id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sports_plus ($9.99), home_delivery ($14.99), digital_all_access ($19.99). One-hot encoded.</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status</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ENUM</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Active / Canceled / Past Due. Active = has_subscription TRUE. Past Due = churn risk signal.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amount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DECIMAL(8,2)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Monthly billing amount USD. Higher amounts correlate with Loyalist and Subscription-Focused.</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billing_day_of_month</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SMALLINT</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Billing day. Payment timing analysis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created_at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Subscription creation date. Used to compute subscription tenure.</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paid_through_date</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DATE</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Date paid through. Days until renewal = churn proximity signal.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number_of_billing_cycles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Successful billing cycles. High count = long-term committed subscriber. Loyalist signal.</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payment_method</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ENUM</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credit_card or paypal. Payment analytics only.</w:t>
            </w:r>
          </w:p>
        </w:tc>
      </w:tr>
    </w:tbl>
    <w:p>
      <w:pPr>
        <w:spacing w:after="160"/>
      </w:pPr>
    </w:p>
    <w:p>
      <w:pPr>
        <w:pStyle w:val="Heading2"/>
        <w:spacing w:after="160" w:before="300"/>
      </w:pPr>
      <w:r>
        <w:rPr>
          <w:rFonts w:ascii="Arial" w:cs="Arial" w:eastAsia="Arial" w:hAnsi="Arial"/>
          <w:b/>
          <w:bCs/>
          <w:color w:val="1B4F8A"/>
          <w:sz w:val="30"/>
          <w:szCs w:val="30"/>
        </w:rPr>
        <w:t xml:space="preserve">2.4  sailthru_newsletter — Email Engagement</w:t>
      </w:r>
    </w:p>
    <w:p>
      <w:pPr>
        <w:spacing w:after="160"/>
      </w:pPr>
      <w:r>
        <w:rPr>
          <w:rFonts w:ascii="Arial" w:cs="Arial" w:eastAsia="Arial" w:hAnsi="Arial"/>
          <w:b w:val="false"/>
          <w:bCs w:val="false"/>
          <w:i w:val="false"/>
          <w:iCs w:val="false"/>
          <w:color w:val="444455"/>
          <w:sz w:val="21"/>
          <w:szCs w:val="21"/>
        </w:rPr>
        <w:t xml:space="preserve">Join key: </w:t>
      </w:r>
      <w:r>
        <w:rPr>
          <w:rFonts w:ascii="Arial" w:cs="Arial" w:eastAsia="Arial" w:hAnsi="Arial"/>
          <w:b/>
          <w:bCs/>
          <w:i w:val="false"/>
          <w:iCs w:val="false"/>
          <w:color w:val="444455"/>
          <w:sz w:val="21"/>
          <w:szCs w:val="21"/>
        </w:rPr>
        <w:t xml:space="preserve">email → user_id via zephr_users.email (100% registered user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Field Name</w:t>
            </w:r>
          </w:p>
        </w:tc>
        <w:tc>
          <w:tcPr>
            <w:tcW w:type="dxa" w:w="1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Data Type</w:t>
            </w:r>
          </w:p>
        </w:tc>
        <w:tc>
          <w:tcPr>
            <w:tcW w:type="dxa" w:w="12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Role</w:t>
            </w:r>
          </w:p>
        </w:tc>
        <w:tc>
          <w:tcPr>
            <w:tcW w:type="dxa" w:w="41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sailthru_id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PK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Sailthru internal ID. Not used as join key.</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user_id</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UUID</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E6655"/>
                <w:sz w:val="18"/>
                <w:szCs w:val="18"/>
              </w:rPr>
              <w:t xml:space="preserve">FK</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Resolved from email match to Zephr. Universal identifier for feature store joins.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email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VARCHAR(255)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E6655"/>
                <w:sz w:val="18"/>
                <w:szCs w:val="18"/>
              </w:rPr>
              <w:t xml:space="preserve">FK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Primary join key to zephr_users. Exact match required (lowercase, trimmed).</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subscribed_newsletters</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TEXT</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Pipe-delimited newsletter IDs. Exploded into 10 binary nl_* feature flags.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newsletter_count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SMALLINT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Active newsletter subscriptions. Subscription-Focused persona subscribes to 4–5 simultaneously.</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open_rate</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FLOAT</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Emails opened / sent (0.0–1.0). Loyalists typically exceed 0.40.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click_through_rate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Opened emails with link click (0.0–1.0). Key differentiator for High Value Shoppers.</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total_emails_sent</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Delivered email count. Denominator for open_rate.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total_opens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Raw open count. Numerator for open_rate.</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total_clicks</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Raw click count. Numerator for click_through_rate.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last_open_date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Most recent email open. Email recency signal.</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engagement_tier</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ENUM</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low / medium / high based on open_rate thresholds.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email_engagement_score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SMALLINT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9A6200"/>
                <w:sz w:val="18"/>
                <w:szCs w:val="18"/>
              </w:rPr>
              <w:t xml:space="preserve">Derived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DERIVED: 0=low, 1=medium, 2=high. Direct ML matrix input.</w:t>
            </w:r>
          </w:p>
        </w:tc>
      </w:tr>
    </w:tbl>
    <w:p>
      <w:pPr>
        <w:spacing w:after="160"/>
      </w:pPr>
    </w:p>
    <w:p>
      <w:pPr>
        <w:pStyle w:val="Heading2"/>
        <w:spacing w:after="160" w:before="300"/>
      </w:pPr>
      <w:r>
        <w:rPr>
          <w:rFonts w:ascii="Arial" w:cs="Arial" w:eastAsia="Arial" w:hAnsi="Arial"/>
          <w:b/>
          <w:bCs/>
          <w:color w:val="1B4F8A"/>
          <w:sz w:val="30"/>
          <w:szCs w:val="30"/>
        </w:rPr>
        <w:t xml:space="preserve">2.5  pushly_subscribers — Push Notifications</w:t>
      </w:r>
    </w:p>
    <w:p>
      <w:pPr>
        <w:spacing w:after="160"/>
      </w:pPr>
      <w:r>
        <w:rPr>
          <w:rFonts w:ascii="Arial" w:cs="Arial" w:eastAsia="Arial" w:hAnsi="Arial"/>
          <w:b w:val="false"/>
          <w:bCs w:val="false"/>
          <w:i w:val="false"/>
          <w:iCs w:val="false"/>
          <w:color w:val="444455"/>
          <w:sz w:val="21"/>
          <w:szCs w:val="21"/>
        </w:rPr>
        <w:t xml:space="preserve">Join key: </w:t>
      </w:r>
      <w:r>
        <w:rPr>
          <w:rFonts w:ascii="Arial" w:cs="Arial" w:eastAsia="Arial" w:hAnsi="Arial"/>
          <w:b/>
          <w:bCs/>
          <w:i w:val="false"/>
          <w:iCs w:val="false"/>
          <w:color w:val="444455"/>
          <w:sz w:val="21"/>
          <w:szCs w:val="21"/>
        </w:rPr>
        <w:t xml:space="preserve">external_id → user_id (set equal at push opt-in, ~35% user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Field Name</w:t>
            </w:r>
          </w:p>
        </w:tc>
        <w:tc>
          <w:tcPr>
            <w:tcW w:type="dxa" w:w="1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Data Type</w:t>
            </w:r>
          </w:p>
        </w:tc>
        <w:tc>
          <w:tcPr>
            <w:tcW w:type="dxa" w:w="12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Role</w:t>
            </w:r>
          </w:p>
        </w:tc>
        <w:tc>
          <w:tcPr>
            <w:tcW w:type="dxa" w:w="41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subscriber_id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PK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Pushly internal subscriber ID.</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external_id</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UUID</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E6655"/>
                <w:sz w:val="18"/>
                <w:szCs w:val="18"/>
              </w:rPr>
              <w:t xml:space="preserve">FK</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 user_id. Set at push opt-in time. Direct FK to zephr_users.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opted_in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Push opt-in status. Encoded as push_opted_in. Opt-in itself is a meaningful engagement signal.</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opt_in_date</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DATE</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Opt-in date. Push tenure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platform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web_desktop / web_mobile / ios / android. One-hot encoded to push_platform_* features.</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notifications_sent</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Total delivered. Denominator for click_rate.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notifications_clicked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Total clicks. Numerator for click_rate.</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click_rate</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FLOAT</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Clicked / sent. High rates characteristic of Sports Focused users on breaking sports alerts.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last_clicked_at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Most recent click. Push recency signal.</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preferred_category</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ENUM</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Category of most-clicked notifications. Secondary content affinity signal.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is_active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Push subscription active (not revoked). Encoded as push_is_active.</w:t>
            </w:r>
          </w:p>
        </w:tc>
      </w:tr>
    </w:tbl>
    <w:p>
      <w:pPr>
        <w:spacing w:after="160"/>
      </w:pPr>
    </w:p>
    <w:p>
      <w:r>
        <w:br w:type="page"/>
      </w:r>
    </w:p>
    <w:p>
      <w:pPr>
        <w:pStyle w:val="Heading2"/>
        <w:spacing w:after="160" w:before="300"/>
      </w:pPr>
      <w:r>
        <w:rPr>
          <w:rFonts w:ascii="Arial" w:cs="Arial" w:eastAsia="Arial" w:hAnsi="Arial"/>
          <w:b/>
          <w:bCs/>
          <w:color w:val="1B4F8A"/>
          <w:sz w:val="30"/>
          <w:szCs w:val="30"/>
        </w:rPr>
        <w:t xml:space="preserve">2.6  openweb_engagement — Social Engagement</w:t>
      </w:r>
    </w:p>
    <w:p>
      <w:pPr>
        <w:spacing w:after="160"/>
      </w:pPr>
      <w:r>
        <w:rPr>
          <w:rFonts w:ascii="Arial" w:cs="Arial" w:eastAsia="Arial" w:hAnsi="Arial"/>
          <w:b w:val="false"/>
          <w:bCs w:val="false"/>
          <w:i w:val="false"/>
          <w:iCs w:val="false"/>
          <w:color w:val="444455"/>
          <w:sz w:val="21"/>
          <w:szCs w:val="21"/>
        </w:rPr>
        <w:t xml:space="preserve">Join key: </w:t>
      </w:r>
      <w:r>
        <w:rPr>
          <w:rFonts w:ascii="Arial" w:cs="Arial" w:eastAsia="Arial" w:hAnsi="Arial"/>
          <w:b/>
          <w:bCs/>
          <w:i w:val="false"/>
          <w:iCs w:val="false"/>
          <w:color w:val="444455"/>
          <w:sz w:val="21"/>
          <w:szCs w:val="21"/>
        </w:rPr>
        <w:t xml:space="preserve">user_id directly via SSO token — no resolution needed (~23%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Field Name</w:t>
            </w:r>
          </w:p>
        </w:tc>
        <w:tc>
          <w:tcPr>
            <w:tcW w:type="dxa" w:w="1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Data Type</w:t>
            </w:r>
          </w:p>
        </w:tc>
        <w:tc>
          <w:tcPr>
            <w:tcW w:type="dxa" w:w="12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Role</w:t>
            </w:r>
          </w:p>
        </w:tc>
        <w:tc>
          <w:tcPr>
            <w:tcW w:type="dxa" w:w="41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openweb_user_id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PK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Openweb internal ID.</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user_id</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UUID</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E6655"/>
                <w:sz w:val="18"/>
                <w:szCs w:val="18"/>
              </w:rPr>
              <w:t xml:space="preserve">FK</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Direct FK via SSO token. Most reliable join — no resolution step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email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VARCHAR(255)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E6655"/>
                <w:sz w:val="18"/>
                <w:szCs w:val="18"/>
              </w:rPr>
              <w:t xml:space="preserve">FK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Secondary join key for data quality validation.</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total_comments</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Total comments posted. Defining Social Engagers feature.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total_likes_given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Total likes given. Community participation signal.</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total_shares</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Total article shares. Strong Celebrity &amp; Entertainment signal.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articles_commented_on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Unique articles with user comments. Breadth of engagement.</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avg_comment_length</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Average comment character length. Long-form = Opinion readers.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top_commented_category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Content category with most comments. Cross-validates GA4 content affinity.</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social_engagement_score</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9A6200"/>
                <w:sz w:val="18"/>
                <w:szCs w:val="18"/>
              </w:rPr>
              <w:t xml:space="preserve">Derived</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DERIVED: (comments×3)+(likes×1)+(shares×2). Composite community activity score.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is_verified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Verified badge. Not in ML features.</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toxicity_flag</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BOOLEAN</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Comment toxicity flag. Moderation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last_activity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Most recent social action. Social recency.</w:t>
            </w:r>
          </w:p>
        </w:tc>
      </w:tr>
    </w:tbl>
    <w:p>
      <w:pPr>
        <w:spacing w:after="160"/>
      </w:pPr>
    </w:p>
    <w:p>
      <w:pPr>
        <w:pStyle w:val="Heading2"/>
        <w:spacing w:after="160" w:before="300"/>
      </w:pPr>
      <w:r>
        <w:rPr>
          <w:rFonts w:ascii="Arial" w:cs="Arial" w:eastAsia="Arial" w:hAnsi="Arial"/>
          <w:b/>
          <w:bCs/>
          <w:color w:val="1B4F8A"/>
          <w:sz w:val="30"/>
          <w:szCs w:val="30"/>
        </w:rPr>
        <w:t xml:space="preserve">2.7  trackonomics_clicks — Commerce &amp; Affiliate</w:t>
      </w:r>
    </w:p>
    <w:p>
      <w:pPr>
        <w:spacing w:after="160"/>
      </w:pPr>
      <w:r>
        <w:rPr>
          <w:rFonts w:ascii="Arial" w:cs="Arial" w:eastAsia="Arial" w:hAnsi="Arial"/>
          <w:b w:val="false"/>
          <w:bCs w:val="false"/>
          <w:i w:val="false"/>
          <w:iCs w:val="false"/>
          <w:color w:val="444455"/>
          <w:sz w:val="21"/>
          <w:szCs w:val="21"/>
        </w:rPr>
        <w:t xml:space="preserve">Join key: </w:t>
      </w:r>
      <w:r>
        <w:rPr>
          <w:rFonts w:ascii="Arial" w:cs="Arial" w:eastAsia="Arial" w:hAnsi="Arial"/>
          <w:b/>
          <w:bCs/>
          <w:i w:val="false"/>
          <w:iCs w:val="false"/>
          <w:color w:val="444455"/>
          <w:sz w:val="21"/>
          <w:szCs w:val="21"/>
        </w:rPr>
        <w:t xml:space="preserve">user_id passed as URL parameter in affiliate links (~16%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Field Name</w:t>
            </w:r>
          </w:p>
        </w:tc>
        <w:tc>
          <w:tcPr>
            <w:tcW w:type="dxa" w:w="1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Data Type</w:t>
            </w:r>
          </w:p>
        </w:tc>
        <w:tc>
          <w:tcPr>
            <w:tcW w:type="dxa" w:w="12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Role</w:t>
            </w:r>
          </w:p>
        </w:tc>
        <w:tc>
          <w:tcPr>
            <w:tcW w:type="dxa" w:w="41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click_id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PK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Unique click event identifier.</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user_id</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UUID</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E6655"/>
                <w:sz w:val="18"/>
                <w:szCs w:val="18"/>
              </w:rPr>
              <w:t xml:space="preserve">FK</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user_id passed as URL parameter. NULL for anonymous affiliate clicks.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click_timestamp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Exact click time. Temporal commerce behaviour analysis.</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advertiser</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VARCHAR(100)</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Advertiser name. Aggregated to unique_advertisers_clicked.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product_category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electronics, fashion, home, beauty, sports_gear, books, travel. Commerce intent signal.</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transaction_amount</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DECIMAL(10,2)</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Purchase value if did_transact=TRUE, else 0. Aggregated to total_revenue_generated.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commission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DECIMAL(8,2)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Publisher commission. Aggregated to total_commission — direct platform revenue per user.</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did_transact</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BOOLEAN</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Click resulted in purchase. Aggregated to conversion_rate. Defines High Value Shoppers.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source_article_category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VARCHAR(50)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Originating article category. Which editorial content drives commerce.</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device</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ENUM</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desktop / mobile / tablet. Cross-validates device preference with GA4.</w:t>
            </w:r>
          </w:p>
        </w:tc>
      </w:tr>
    </w:tbl>
    <w:p>
      <w:pPr>
        <w:spacing w:after="160"/>
      </w:pPr>
    </w:p>
    <w:p>
      <w:pPr>
        <w:pStyle w:val="Heading2"/>
        <w:spacing w:after="160" w:before="300"/>
      </w:pPr>
      <w:r>
        <w:rPr>
          <w:rFonts w:ascii="Arial" w:cs="Arial" w:eastAsia="Arial" w:hAnsi="Arial"/>
          <w:b/>
          <w:bCs/>
          <w:color w:val="1B4F8A"/>
          <w:sz w:val="30"/>
          <w:szCs w:val="30"/>
        </w:rPr>
        <w:t xml:space="preserve">2.8  transunion_demographics — Third-Party Demographics</w:t>
      </w:r>
    </w:p>
    <w:p>
      <w:pPr>
        <w:spacing w:after="160"/>
      </w:pPr>
      <w:r>
        <w:rPr>
          <w:rFonts w:ascii="Arial" w:cs="Arial" w:eastAsia="Arial" w:hAnsi="Arial"/>
          <w:b w:val="false"/>
          <w:bCs w:val="false"/>
          <w:i w:val="false"/>
          <w:iCs w:val="false"/>
          <w:color w:val="444455"/>
          <w:sz w:val="21"/>
          <w:szCs w:val="21"/>
        </w:rPr>
        <w:t xml:space="preserve">Join key: </w:t>
      </w:r>
      <w:r>
        <w:rPr>
          <w:rFonts w:ascii="Arial" w:cs="Arial" w:eastAsia="Arial" w:hAnsi="Arial"/>
          <w:b/>
          <w:bCs/>
          <w:i w:val="false"/>
          <w:iCs w:val="false"/>
          <w:color w:val="444455"/>
          <w:sz w:val="21"/>
          <w:szCs w:val="21"/>
        </w:rPr>
        <w:t xml:space="preserve">hashed_email batch-matched to Transunion TruAudience API (~70% match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Field Name</w:t>
            </w:r>
          </w:p>
        </w:tc>
        <w:tc>
          <w:tcPr>
            <w:tcW w:type="dxa" w:w="1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Data Type</w:t>
            </w:r>
          </w:p>
        </w:tc>
        <w:tc>
          <w:tcPr>
            <w:tcW w:type="dxa" w:w="12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Role</w:t>
            </w:r>
          </w:p>
        </w:tc>
        <w:tc>
          <w:tcPr>
            <w:tcW w:type="dxa" w:w="41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transunion_id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PK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Transunion enrichment record ID.</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hashed_email</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VARCHAR(64)</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E6655"/>
                <w:sz w:val="18"/>
                <w:szCs w:val="18"/>
              </w:rPr>
              <w:t xml:space="preserve">FK</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SHA-256 hash. Join key to zephr_users.hashed_email.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user_id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E6655"/>
                <w:sz w:val="18"/>
                <w:szCs w:val="18"/>
              </w:rPr>
              <w:t xml:space="preserve">FK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Resolved from hashed_email join to Zephr.</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age_range</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ENUM</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18-24, 25-34, 35-44, 45-54, 55-64, 65+. Sports Focused skews 18–34.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age_score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SMALLINT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9A6200"/>
                <w:sz w:val="18"/>
                <w:szCs w:val="18"/>
              </w:rPr>
              <w:t xml:space="preserve">Derived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DERIVED: ordinal 1–6. Numeric K-Means input.</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gender</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ENUM</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M / F / Non-binary / Unknown. Persona demographic profiling.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income_range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&lt;30k through 150k+. High income correlates with High Value Shoppers.</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income_score</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SMALLINT</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9A6200"/>
                <w:sz w:val="18"/>
                <w:szCs w:val="18"/>
              </w:rPr>
              <w:t xml:space="preserve">Derived</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DERIVED: ordinal 1–6. Numeric K-Means input.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home_ownership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owner / renter / unknown. Home delivery subscription propensity.</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education</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ENUM</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high_school, some_college, bachelors, graduate. Correlates with Opinion readers.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state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VARCHAR(2)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State from Transunion. Cross-validated with Zephr address_state.</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has_children</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BOOLEAN</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Household includes children. Home delivery and family lifestyle signal.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match_confidence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Match confidence 0.65–1.0. Records below 0.70 excluded from demographic features.</w:t>
            </w:r>
          </w:p>
        </w:tc>
      </w:tr>
    </w:tbl>
    <w:p>
      <w:pPr>
        <w:spacing w:after="160"/>
      </w:pPr>
    </w:p>
    <w:p>
      <w:r>
        <w:br w:type="page"/>
      </w:r>
    </w:p>
    <w:p>
      <w:pPr>
        <w:pStyle w:val="Heading2"/>
        <w:spacing w:after="160" w:before="300"/>
      </w:pPr>
      <w:r>
        <w:rPr>
          <w:rFonts w:ascii="Arial" w:cs="Arial" w:eastAsia="Arial" w:hAnsi="Arial"/>
          <w:b/>
          <w:bCs/>
          <w:color w:val="1B4F8A"/>
          <w:sz w:val="30"/>
          <w:szCs w:val="30"/>
        </w:rPr>
        <w:t xml:space="preserve">2.9  feature_store — ML Feature Matrix (Output Table)</w:t>
      </w:r>
    </w:p>
    <w:p>
      <w:pPr>
        <w:spacing w:after="160"/>
      </w:pPr>
      <w:r>
        <w:rPr>
          <w:rFonts w:ascii="Arial" w:cs="Arial" w:eastAsia="Arial" w:hAnsi="Arial"/>
          <w:b w:val="false"/>
          <w:bCs w:val="false"/>
          <w:i w:val="false"/>
          <w:iCs w:val="false"/>
          <w:color w:val="444455"/>
          <w:sz w:val="21"/>
          <w:szCs w:val="21"/>
        </w:rPr>
        <w:t xml:space="preserve">One row per registered user. All 8 source tables aggregate here. The ML-ready subset has 40+ normalised numeric features. persona_label, cluster_id, algorithm_used, and confidence score are written back after each pipeline run.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1"/>
              <w:bottom w:val="single" w:color="0E6655" w:sz="1"/>
              <w:right w:val="single" w:color="0E6655" w:sz="1"/>
            </w:tcBorders>
            <w:shd w:fill="E8F8F5" w:val="clear"/>
            <w:tcMar>
              <w:top w:type="dxa" w:w="140"/>
              <w:left w:type="dxa" w:w="200"/>
              <w:bottom w:type="dxa" w:w="140"/>
              <w:right w:type="dxa" w:w="200"/>
            </w:tcMar>
          </w:tcPr>
          <w:p>
            <w:pPr>
              <w:spacing w:after="60"/>
            </w:pPr>
            <w:r>
              <w:rPr>
                <w:rFonts w:ascii="Arial" w:cs="Arial" w:eastAsia="Arial" w:hAnsi="Arial"/>
                <w:b/>
                <w:bCs/>
                <w:color w:val="0F2E52"/>
                <w:sz w:val="22"/>
                <w:szCs w:val="22"/>
              </w:rPr>
              <w:t xml:space="preserve">Null Handling</w:t>
            </w:r>
          </w:p>
          <w:p>
            <w:pPr>
              <w:spacing w:after="0"/>
            </w:pPr>
            <w:r>
              <w:rPr>
                <w:rFonts w:ascii="Arial" w:cs="Arial" w:eastAsia="Arial" w:hAnsi="Arial"/>
                <w:color w:val="444455"/>
                <w:sz w:val="20"/>
                <w:szCs w:val="20"/>
              </w:rPr>
              <w:t xml:space="preserve">Users absent from a source receive 0 for numeric features — never dropped. Users with total_sessions ≤ 4 AND no other source data are excluded and assigned 'new_user' until next run.</w:t>
            </w:r>
          </w:p>
        </w:tc>
      </w:tr>
    </w:tbl>
    <w:p>
      <w:pPr>
        <w:spacing w:after="160"/>
      </w:pPr>
    </w:p>
    <w:p>
      <w:pPr>
        <w:pStyle w:val="Heading3"/>
        <w:spacing w:after="120" w:before="240"/>
      </w:pPr>
      <w:r>
        <w:rPr>
          <w:rFonts w:ascii="Arial" w:cs="Arial" w:eastAsia="Arial" w:hAnsi="Arial"/>
          <w:b/>
          <w:bCs/>
          <w:color w:val="444455"/>
          <w:sz w:val="24"/>
          <w:szCs w:val="24"/>
        </w:rPr>
        <w:t xml:space="preserve">Web Behaviour Features — from GA4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Field Name</w:t>
            </w:r>
          </w:p>
        </w:tc>
        <w:tc>
          <w:tcPr>
            <w:tcW w:type="dxa" w:w="1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Data Type</w:t>
            </w:r>
          </w:p>
        </w:tc>
        <w:tc>
          <w:tcPr>
            <w:tcW w:type="dxa" w:w="12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Role</w:t>
            </w:r>
          </w:p>
        </w:tc>
        <w:tc>
          <w:tcPr>
            <w:tcW w:type="dxa" w:w="41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total_sessions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Total sessions in observation period.</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total_pageviews</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Total page views. Loyalists: 500+ per year.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active_days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Distinct days with at least one session.</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avg_session_duration</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FLOAT</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Average seconds per session.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avg_pages_per_session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Average pages per session. High = content discovery behaviour.</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bounce_rate</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FLOAT</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Single-page sessions under 10s / total sessions. Primary Low Engager signal.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mobile_ratio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Mobile sessions / total. Loyalists skew desktop; casual readers skew mobile.</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desktop_ratio</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FLOAT</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Desktop sessions / total.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pageviews_per_session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9A6200"/>
                <w:sz w:val="18"/>
                <w:szCs w:val="18"/>
              </w:rPr>
              <w:t xml:space="preserve">Derived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total_pageviews / total_sessions. Normalised reading depth.</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days_since_last_visit</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Days from last session to reference date. Recency / churn signal.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account_age_days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Days since Zephr registration. Long tenure = Loyalist.</w:t>
            </w:r>
          </w:p>
        </w:tc>
      </w:tr>
    </w:tbl>
    <w:p>
      <w:pPr>
        <w:spacing w:after="80"/>
      </w:pPr>
    </w:p>
    <w:p>
      <w:pPr>
        <w:pStyle w:val="Heading3"/>
        <w:spacing w:after="120" w:before="240"/>
      </w:pPr>
      <w:r>
        <w:rPr>
          <w:rFonts w:ascii="Arial" w:cs="Arial" w:eastAsia="Arial" w:hAnsi="Arial"/>
          <w:b/>
          <w:bCs/>
          <w:color w:val="444455"/>
          <w:sz w:val="24"/>
          <w:szCs w:val="24"/>
        </w:rPr>
        <w:t xml:space="preserve">Content Affinity Features — from GA4 (all FLOAT, 0.0–1.0)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Field Name</w:t>
            </w:r>
          </w:p>
        </w:tc>
        <w:tc>
          <w:tcPr>
            <w:tcW w:type="dxa" w:w="1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Data Type</w:t>
            </w:r>
          </w:p>
        </w:tc>
        <w:tc>
          <w:tcPr>
            <w:tcW w:type="dxa" w:w="12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Role</w:t>
            </w:r>
          </w:p>
        </w:tc>
        <w:tc>
          <w:tcPr>
            <w:tcW w:type="dxa" w:w="41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ratio_sports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Sports pageviews / total. Primary Sports Focused differentiator.</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ratio_entertainment</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FLOAT</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Entertainment proportion. Combined with ratio_celebrity for Celebrity cluster.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ratio_celebrity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Celebrity/Page Six proportion. Highest in Celebrity &amp; Entertainment.</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ratio_shopping</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FLOAT</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Shopping content proportion. Correlated with Trackonomics commerce features.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ratio_opinion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Opinion content proportion. Long-form politically engaged readers.</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ratio_world_news</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FLOAT</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World news proportion. News-first casual readers.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ratio_business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Business content proportion. Correlated with higher income_score.</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ratio_lifestyle</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FLOAT</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Lifestyle content (health, wellness, food).</w:t>
            </w:r>
          </w:p>
        </w:tc>
      </w:tr>
    </w:tbl>
    <w:p>
      <w:pPr>
        <w:spacing w:after="80"/>
      </w:pPr>
    </w:p>
    <w:p>
      <w:pPr>
        <w:pStyle w:val="Heading3"/>
        <w:spacing w:after="120" w:before="240"/>
      </w:pPr>
      <w:r>
        <w:rPr>
          <w:rFonts w:ascii="Arial" w:cs="Arial" w:eastAsia="Arial" w:hAnsi="Arial"/>
          <w:b/>
          <w:bCs/>
          <w:color w:val="444455"/>
          <w:sz w:val="24"/>
          <w:szCs w:val="24"/>
        </w:rPr>
        <w:t xml:space="preserve">Subscription Features — from Braintree + Zephr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Field Name</w:t>
            </w:r>
          </w:p>
        </w:tc>
        <w:tc>
          <w:tcPr>
            <w:tcW w:type="dxa" w:w="1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Data Type</w:t>
            </w:r>
          </w:p>
        </w:tc>
        <w:tc>
          <w:tcPr>
            <w:tcW w:type="dxa" w:w="12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Role</w:t>
            </w:r>
          </w:p>
        </w:tc>
        <w:tc>
          <w:tcPr>
            <w:tcW w:type="dxa" w:w="41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has_subscription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Active paid subscription. One of the strongest single cluster separators.</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subscription_plan</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VARCHAR(50)</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Plan name or none.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subscription_amount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DECIMAL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Monthly amount USD. Higher = higher commitment tier.</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total_billing_cycles</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Successful billing cycles. Long history = primary Loyalist tenure feature.</w:t>
            </w:r>
          </w:p>
        </w:tc>
      </w:tr>
    </w:tbl>
    <w:p>
      <w:pPr>
        <w:spacing w:after="80"/>
      </w:pPr>
    </w:p>
    <w:p>
      <w:pPr>
        <w:pStyle w:val="Heading3"/>
        <w:spacing w:after="120" w:before="240"/>
      </w:pPr>
      <w:r>
        <w:rPr>
          <w:rFonts w:ascii="Arial" w:cs="Arial" w:eastAsia="Arial" w:hAnsi="Arial"/>
          <w:b/>
          <w:bCs/>
          <w:color w:val="444455"/>
          <w:sz w:val="24"/>
          <w:szCs w:val="24"/>
        </w:rPr>
        <w:t xml:space="preserve">Email Features — from Sailthru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Field Name</w:t>
            </w:r>
          </w:p>
        </w:tc>
        <w:tc>
          <w:tcPr>
            <w:tcW w:type="dxa" w:w="1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Data Type</w:t>
            </w:r>
          </w:p>
        </w:tc>
        <w:tc>
          <w:tcPr>
            <w:tcW w:type="dxa" w:w="12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Role</w:t>
            </w:r>
          </w:p>
        </w:tc>
        <w:tc>
          <w:tcPr>
            <w:tcW w:type="dxa" w:w="41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newsletter_count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SMALLINT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Active newsletter subscriptions. Primary Subscription-Focused differentiator.</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open_rate</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FLOAT</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Email open rate 0.0–1.0.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click_through_rate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Email link click rate 0.0–1.0.</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email_engagement_score</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SMALLINT</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Ordinal 0/1/2 low/medium/high.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nl_sports_alerts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Subscribed to Sports Alerts newsletter.</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nl_morning_report</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BOOLEAN</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Subscribed to Morning Report. Habitual daily reader.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nl_page_six_daily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Subscribed to Page Six Daily. Celebrity signal.</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nl_celebrity_news</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BOOLEAN</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Subscribed to Celebrity News.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nl_evening_update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Subscribed to Evening Update.</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nl_post_opinion</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BOOLEAN</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Subscribed to Post Opinion. Opinion reader signal.</w:t>
            </w:r>
          </w:p>
        </w:tc>
      </w:tr>
    </w:tbl>
    <w:p>
      <w:pPr>
        <w:spacing w:after="80"/>
      </w:pPr>
    </w:p>
    <w:p>
      <w:pPr>
        <w:pStyle w:val="Heading3"/>
        <w:spacing w:after="120" w:before="240"/>
      </w:pPr>
      <w:r>
        <w:rPr>
          <w:rFonts w:ascii="Arial" w:cs="Arial" w:eastAsia="Arial" w:hAnsi="Arial"/>
          <w:b/>
          <w:bCs/>
          <w:color w:val="444455"/>
          <w:sz w:val="24"/>
          <w:szCs w:val="24"/>
        </w:rPr>
        <w:t xml:space="preserve">Social Features — from Openweb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Field Name</w:t>
            </w:r>
          </w:p>
        </w:tc>
        <w:tc>
          <w:tcPr>
            <w:tcW w:type="dxa" w:w="1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Data Type</w:t>
            </w:r>
          </w:p>
        </w:tc>
        <w:tc>
          <w:tcPr>
            <w:tcW w:type="dxa" w:w="12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Role</w:t>
            </w:r>
          </w:p>
        </w:tc>
        <w:tc>
          <w:tcPr>
            <w:tcW w:type="dxa" w:w="41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total_comments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Total comments posted.</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total_likes_given</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Total likes given.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total_shares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Total article shares.</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social_engagement_score</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9A6200"/>
                <w:sz w:val="18"/>
                <w:szCs w:val="18"/>
              </w:rPr>
              <w:t xml:space="preserve">Derived</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(comments×3)+(likes×1)+(shares×2). Composite community score.</w:t>
            </w:r>
          </w:p>
        </w:tc>
      </w:tr>
    </w:tbl>
    <w:p>
      <w:pPr>
        <w:spacing w:after="80"/>
      </w:pPr>
    </w:p>
    <w:p>
      <w:pPr>
        <w:pStyle w:val="Heading3"/>
        <w:spacing w:after="120" w:before="240"/>
      </w:pPr>
      <w:r>
        <w:rPr>
          <w:rFonts w:ascii="Arial" w:cs="Arial" w:eastAsia="Arial" w:hAnsi="Arial"/>
          <w:b/>
          <w:bCs/>
          <w:color w:val="444455"/>
          <w:sz w:val="24"/>
          <w:szCs w:val="24"/>
        </w:rPr>
        <w:t xml:space="preserve">Commerce Features — from Trackonomics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Field Name</w:t>
            </w:r>
          </w:p>
        </w:tc>
        <w:tc>
          <w:tcPr>
            <w:tcW w:type="dxa" w:w="1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Data Type</w:t>
            </w:r>
          </w:p>
        </w:tc>
        <w:tc>
          <w:tcPr>
            <w:tcW w:type="dxa" w:w="12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Role</w:t>
            </w:r>
          </w:p>
        </w:tc>
        <w:tc>
          <w:tcPr>
            <w:tcW w:type="dxa" w:w="41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total_affiliate_clicks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Total affiliate link clicks. Commerce engagement volume.</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total_transactions</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Clicks resulting in purchase.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total_revenue_generated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DECIMAL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Total transaction value USD.</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conversion_rate</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FLOAT</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Purchases / clicks. Defining High Value Shoppers feature.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avg_transaction_value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DECIMAL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Average purchase value per transaction.</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unique_advertisers_clicked</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INTEGER</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Breadth of commerce interest.</w:t>
            </w:r>
          </w:p>
        </w:tc>
      </w:tr>
    </w:tbl>
    <w:p>
      <w:pPr>
        <w:spacing w:after="80"/>
      </w:pPr>
    </w:p>
    <w:p>
      <w:pPr>
        <w:pStyle w:val="Heading3"/>
        <w:spacing w:after="120" w:before="240"/>
      </w:pPr>
      <w:r>
        <w:rPr>
          <w:rFonts w:ascii="Arial" w:cs="Arial" w:eastAsia="Arial" w:hAnsi="Arial"/>
          <w:b/>
          <w:bCs/>
          <w:color w:val="444455"/>
          <w:sz w:val="24"/>
          <w:szCs w:val="24"/>
        </w:rPr>
        <w:t xml:space="preserve">Demographic Features — from Transunion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Field Name</w:t>
            </w:r>
          </w:p>
        </w:tc>
        <w:tc>
          <w:tcPr>
            <w:tcW w:type="dxa" w:w="1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Data Type</w:t>
            </w:r>
          </w:p>
        </w:tc>
        <w:tc>
          <w:tcPr>
            <w:tcW w:type="dxa" w:w="12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Role</w:t>
            </w:r>
          </w:p>
        </w:tc>
        <w:tc>
          <w:tcPr>
            <w:tcW w:type="dxa" w:w="41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age_score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SMALLINT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Ordinal 1–6 (18–24 through 65+).</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income_score</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SMALLINT</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Ordinal 1–6 (&lt;30k through 150k+).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has_children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6C3483"/>
                <w:sz w:val="18"/>
                <w:szCs w:val="18"/>
              </w:rPr>
              <w:t xml:space="preserve">ML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Household includes children.</w:t>
            </w:r>
          </w:p>
        </w:tc>
      </w:tr>
    </w:tbl>
    <w:p>
      <w:pPr>
        <w:spacing w:after="80"/>
      </w:pPr>
    </w:p>
    <w:p>
      <w:pPr>
        <w:pStyle w:val="Heading3"/>
        <w:spacing w:after="120" w:before="240"/>
      </w:pPr>
      <w:r>
        <w:rPr>
          <w:rFonts w:ascii="Arial" w:cs="Arial" w:eastAsia="Arial" w:hAnsi="Arial"/>
          <w:b/>
          <w:bCs/>
          <w:color w:val="444455"/>
          <w:sz w:val="24"/>
          <w:szCs w:val="24"/>
        </w:rPr>
        <w:t xml:space="preserve">Output Columns — written back after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Field Name</w:t>
            </w:r>
          </w:p>
        </w:tc>
        <w:tc>
          <w:tcPr>
            <w:tcW w:type="dxa" w:w="1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Data Type</w:t>
            </w:r>
          </w:p>
        </w:tc>
        <w:tc>
          <w:tcPr>
            <w:tcW w:type="dxa" w:w="12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Role</w:t>
            </w:r>
          </w:p>
        </w:tc>
        <w:tc>
          <w:tcPr>
            <w:tcW w:type="dxa" w:w="41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persona_label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VARCHAR(50)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9A6200"/>
                <w:sz w:val="18"/>
                <w:szCs w:val="18"/>
              </w:rPr>
              <w:t xml:space="preserve">Derived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Human-readable persona name: loyalist, sports_focused, high_value_shopper, social_engager, subscription_focused, occasional_buyer, celebrity_entertainment, casual_reader, low_engager.</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cluster_id</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SMALLINT</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9A6200"/>
                <w:sz w:val="18"/>
                <w:szCs w:val="18"/>
              </w:rPr>
              <w:t xml:space="preserve">Derived</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Numeric cluster assignment. Used for programmatic targeting.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algorithm_used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VARCHAR(50)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9A6200"/>
                <w:sz w:val="18"/>
                <w:szCs w:val="18"/>
              </w:rPr>
              <w:t xml:space="preserve">Derived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Which algorithm produced this assignment: kmeans, gmm, hdbscan, ensemble. Tracked per run for model governance.</w:t>
            </w:r>
          </w:p>
        </w:tc>
      </w:tr>
      <w:tr>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cluster_score</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FLOAT</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9A6200"/>
                <w:sz w:val="18"/>
                <w:szCs w:val="18"/>
              </w:rPr>
              <w:t xml:space="preserve">Derived</w:t>
            </w:r>
          </w:p>
        </w:tc>
        <w:tc>
          <w:tcPr>
            <w:tcW w:type="dxa" w:w="4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Confidence / distance score. Lower distance = more prototypical cluster member. Used for confidence-based targeting.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bCs/>
                <w:i w:val="false"/>
                <w:iCs w:val="false"/>
                <w:color w:val="0F2E52"/>
                <w:sz w:val="18"/>
                <w:szCs w:val="18"/>
              </w:rPr>
              <w:t xml:space="preserve">last_updated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ourier New" w:cs="Courier New" w:eastAsia="Courier New" w:hAnsi="Courier New"/>
                <w:b w:val="false"/>
                <w:bCs w:val="false"/>
                <w:i w:val="false"/>
                <w:iCs w:val="false"/>
                <w:color w:val="666666"/>
                <w:sz w:val="17"/>
                <w:szCs w:val="17"/>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777777"/>
                <w:sz w:val="18"/>
                <w:szCs w:val="18"/>
              </w:rPr>
              <w:t xml:space="preserve">Metadata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Timestamp of last pipeline run. Used to detect stale assignments.</w:t>
            </w:r>
          </w:p>
        </w:tc>
      </w:tr>
    </w:tbl>
    <w:p>
      <w:pPr>
        <w:spacing w:after="160"/>
      </w:pPr>
    </w:p>
    <w:p>
      <w:r>
        <w:br w:type="page"/>
      </w:r>
    </w:p>
    <w:p>
      <w:pPr>
        <w:pStyle w:val="Heading1"/>
        <w:pBdr>
          <w:bottom w:val="single" w:color="1B4F8A" w:sz="8" w:space="4"/>
        </w:pBdr>
        <w:spacing w:after="200" w:before="400"/>
      </w:pPr>
      <w:r>
        <w:rPr>
          <w:rFonts w:ascii="Arial" w:cs="Arial" w:eastAsia="Arial" w:hAnsi="Arial"/>
          <w:b/>
          <w:bCs/>
          <w:color w:val="0F2E52"/>
          <w:sz w:val="40"/>
          <w:szCs w:val="40"/>
        </w:rPr>
        <w:t xml:space="preserve">3. ML Strategy — Algorithms, Cluster Selection &amp;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
              <w:bottom w:val="single" w:color="6C3483" w:sz="1"/>
              <w:right w:val="single" w:color="6C3483" w:sz="1"/>
            </w:tcBorders>
            <w:shd w:fill="F5EEF8" w:val="clear"/>
            <w:tcMar>
              <w:top w:type="dxa" w:w="140"/>
              <w:left w:type="dxa" w:w="200"/>
              <w:bottom w:type="dxa" w:w="140"/>
              <w:right w:type="dxa" w:w="200"/>
            </w:tcMar>
          </w:tcPr>
          <w:p>
            <w:pPr>
              <w:spacing w:after="60"/>
            </w:pPr>
            <w:r>
              <w:rPr>
                <w:rFonts w:ascii="Arial" w:cs="Arial" w:eastAsia="Arial" w:hAnsi="Arial"/>
                <w:b/>
                <w:bCs/>
                <w:color w:val="0F2E52"/>
                <w:sz w:val="22"/>
                <w:szCs w:val="22"/>
              </w:rPr>
              <w:t xml:space="preserve">Design Principle</w:t>
            </w:r>
          </w:p>
          <w:p>
            <w:pPr>
              <w:spacing w:after="0"/>
            </w:pPr>
            <w:r>
              <w:rPr>
                <w:rFonts w:ascii="Arial" w:cs="Arial" w:eastAsia="Arial" w:hAnsi="Arial"/>
                <w:color w:val="444455"/>
                <w:sz w:val="20"/>
                <w:szCs w:val="20"/>
              </w:rPr>
              <w:t xml:space="preserve">The NYPost project used Bisecting K-Means. This blueprint treats algorithm selection as a tunable, client-specific decision. Different publishers have different data densities, different proportions of engaged vs dormant users, and different cluster granularity requirements. A single algorithm locks you into assumptions that may not hold for every client. The recommended approach is an evaluation pipeline that tests multiple algorithms and selects the best-performing one per client deployment.</w:t>
            </w:r>
          </w:p>
        </w:tc>
      </w:tr>
    </w:tbl>
    <w:p>
      <w:pPr>
        <w:spacing w:after="160"/>
      </w:pPr>
    </w:p>
    <w:p>
      <w:pPr>
        <w:pStyle w:val="Heading2"/>
        <w:spacing w:after="160" w:before="300"/>
      </w:pPr>
      <w:r>
        <w:rPr>
          <w:rFonts w:ascii="Arial" w:cs="Arial" w:eastAsia="Arial" w:hAnsi="Arial"/>
          <w:b/>
          <w:bCs/>
          <w:color w:val="1B4F8A"/>
          <w:sz w:val="30"/>
          <w:szCs w:val="30"/>
        </w:rPr>
        <w:t xml:space="preserve">3.1  Algorithm Comparison &amp; Selection Framework</w:t>
      </w:r>
    </w:p>
    <w:p>
      <w:pPr>
        <w:spacing w:after="160"/>
      </w:pPr>
      <w:r>
        <w:rPr>
          <w:rFonts w:ascii="Arial" w:cs="Arial" w:eastAsia="Arial" w:hAnsi="Arial"/>
          <w:b w:val="false"/>
          <w:bCs w:val="false"/>
          <w:i w:val="false"/>
          <w:iCs w:val="false"/>
          <w:color w:val="444455"/>
          <w:sz w:val="21"/>
          <w:szCs w:val="21"/>
        </w:rPr>
        <w:t xml:space="preserve">Five algorithms are evaluated for every new client deployment. Each has distinct strengths depending on data characteristics: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500"/>
        <w:gridCol w:w="2400"/>
        <w:gridCol w:w="860"/>
      </w:tblGrid>
      <w:tr>
        <w:trPr>
          <w:tblHeader/>
        </w:trPr>
        <w:tc>
          <w:tcPr>
            <w:tcW w:type="dxa" w:w="16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Algorithm</w:t>
            </w:r>
          </w:p>
        </w:tc>
        <w:tc>
          <w:tcPr>
            <w:tcW w:type="dxa" w:w="20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Mechanism</w:t>
            </w:r>
          </w:p>
        </w:tc>
        <w:tc>
          <w:tcPr>
            <w:tcW w:type="dxa" w:w="2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Strengths</w:t>
            </w:r>
          </w:p>
        </w:tc>
        <w:tc>
          <w:tcPr>
            <w:tcW w:type="dxa" w:w="24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Weaknesses</w:t>
            </w:r>
          </w:p>
        </w:tc>
        <w:tc>
          <w:tcPr>
            <w:tcW w:type="dxa" w:w="8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Use Case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Bisecting K-Means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Divide largest cluster recursively until K clusters reached.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Fast and scalable to 100M+ users. Produces compact, well-separated clusters. Deterministic (reproducible runs).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Assumes spherical clusters. Sensitive to outliers. Requires K to be specified in advance. Struggles if cluster sizes are very unequal (e.g. 50% Low Engagers).</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Best for: large publishers (10M+ users) needing fast, reproducible weekly runs.</w:t>
            </w:r>
          </w:p>
        </w:tc>
      </w:tr>
      <w:tr>
        <w:tc>
          <w:tcPr>
            <w:tcW w:type="dxa" w:w="1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Standard K-Means</w:t>
            </w:r>
          </w:p>
        </w:tc>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Iteratively assign points to nearest centroid until convergence.</w:t>
            </w:r>
          </w:p>
        </w:tc>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Well-understood, widely supported. Good cluster interpretability. Works well when cluster sizes are roughly equal.</w:t>
            </w:r>
          </w:p>
        </w:tc>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Same spherical cluster assumption as Bisecting variant. Can converge to local minima — run multiple times with different seeds.</w:t>
            </w:r>
          </w:p>
        </w:tc>
        <w:tc>
          <w:tcPr>
            <w:tcW w:type="dxa" w:w="8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Best for: mid-size publishers (1M–10M) with reasonably balanced persona distributions.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Gaussian Mixture Model (GMM)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Probabilistic model — assigns soft membership probabilities to each cluster.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Handles elliptical clusters (not just spherical). Produces confidence scores natively (posterior probabilities). Better captures overlapping personas (e.g. a user who is 70% Sports Focused, 30% Loyalist).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Slower than K-Means. More sensitive to initialisation. Requires careful regularisation to avoid degenerate solutions.</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Best for: publishers wanting soft persona scores for nuanced targeting, not hard assignments.</w:t>
            </w:r>
          </w:p>
        </w:tc>
      </w:tr>
      <w:tr>
        <w:tc>
          <w:tcPr>
            <w:tcW w:type="dxa" w:w="1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HDBSCAN</w:t>
            </w:r>
          </w:p>
        </w:tc>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Density-based hierarchical clustering. Finds clusters as dense regions separated by sparse regions.</w:t>
            </w:r>
          </w:p>
        </w:tc>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Does NOT require K to be specified — discovers the natural number of clusters. Handles non-spherical clusters. Automatically identifies outliers as noise.</w:t>
            </w:r>
          </w:p>
        </w:tc>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Non-deterministic. Slower on very large datasets. Outlier users (Low Engagers) may be classified as noise rather than a cluster.</w:t>
            </w:r>
          </w:p>
        </w:tc>
        <w:tc>
          <w:tcPr>
            <w:tcW w:type="dxa" w:w="8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Best for: initial exploration on a new client's data to discover natural K before running K-Means.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Ensemble (Consensus Clustering)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Run K-Means, GMM, and HDBSCAN independently. Assign final persona by majority vote.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Most robust. Reduces variance from any single algorithm's weaknesses. Confidence score = proportion of algorithms agreeing.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Computationally expensive (3x cost of single algorithm). Pipeline complexity increases.</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Best for: premium client deployments where accuracy &gt; speed, or when algorithms produce conflicting cluster counts.</w:t>
            </w:r>
          </w:p>
        </w:tc>
      </w:tr>
    </w:tbl>
    <w:p>
      <w:pPr>
        <w:spacing w:after="160"/>
      </w:pPr>
    </w:p>
    <w:p>
      <w:pPr>
        <w:pStyle w:val="Heading2"/>
        <w:spacing w:after="160" w:before="300"/>
      </w:pPr>
      <w:r>
        <w:rPr>
          <w:rFonts w:ascii="Arial" w:cs="Arial" w:eastAsia="Arial" w:hAnsi="Arial"/>
          <w:b/>
          <w:bCs/>
          <w:color w:val="1B4F8A"/>
          <w:sz w:val="30"/>
          <w:szCs w:val="30"/>
        </w:rPr>
        <w:t xml:space="preserve">3.2  Optimal Cluster Count Selection</w:t>
      </w:r>
    </w:p>
    <w:p>
      <w:pPr>
        <w:spacing w:after="160"/>
      </w:pPr>
      <w:r>
        <w:rPr>
          <w:rFonts w:ascii="Arial" w:cs="Arial" w:eastAsia="Arial" w:hAnsi="Arial"/>
          <w:b w:val="false"/>
          <w:bCs w:val="false"/>
          <w:i w:val="false"/>
          <w:iCs w:val="false"/>
          <w:color w:val="444455"/>
          <w:sz w:val="21"/>
          <w:szCs w:val="21"/>
        </w:rPr>
        <w:t xml:space="preserve">How many clusters (K) is the right number is one of the most important — and most misunderstood — decisions in the pipeline. The answer varies by publisher size, content breadth, and business granularity requirements.</w:t>
      </w:r>
    </w:p>
    <w:p>
      <w:pPr>
        <w:spacing w:after="80"/>
      </w:pPr>
    </w:p>
    <w:p>
      <w:pPr>
        <w:pStyle w:val="Heading3"/>
        <w:spacing w:after="120" w:before="240"/>
      </w:pPr>
      <w:r>
        <w:rPr>
          <w:rFonts w:ascii="Arial" w:cs="Arial" w:eastAsia="Arial" w:hAnsi="Arial"/>
          <w:b/>
          <w:bCs/>
          <w:color w:val="0E6655"/>
          <w:sz w:val="24"/>
          <w:szCs w:val="24"/>
        </w:rPr>
        <w:t xml:space="preserve">Method 1 — Elbow Method (Inertia Curve)</w:t>
      </w:r>
    </w:p>
    <w:p>
      <w:pPr>
        <w:spacing w:after="160"/>
      </w:pPr>
      <w:r>
        <w:rPr>
          <w:rFonts w:ascii="Arial" w:cs="Arial" w:eastAsia="Arial" w:hAnsi="Arial"/>
          <w:b w:val="false"/>
          <w:bCs w:val="false"/>
          <w:i w:val="false"/>
          <w:iCs w:val="false"/>
          <w:color w:val="444455"/>
          <w:sz w:val="21"/>
          <w:szCs w:val="21"/>
        </w:rPr>
        <w:t xml:space="preserve">Plot inertia (sum of squared distances from centroid) against K from 5 to 20. The elbow point — where adding more clusters gives diminishing returns — indicates the optimal 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7F9FA" w:val="clear"/>
            <w:tcMar>
              <w:top w:type="dxa" w:w="140"/>
              <w:left w:type="dxa" w:w="200"/>
              <w:bottom w:type="dxa" w:w="140"/>
              <w:right w:type="dxa" w:w="200"/>
            </w:tcMar>
          </w:tcPr>
          <w:p>
            <w:pPr>
              <w:spacing w:after="60"/>
            </w:pPr>
            <w:r>
              <w:rPr>
                <w:rFonts w:ascii="Arial" w:cs="Arial" w:eastAsia="Arial" w:hAnsi="Arial"/>
                <w:b/>
                <w:bCs/>
                <w:color w:val="0F2E52"/>
                <w:sz w:val="22"/>
                <w:szCs w:val="22"/>
              </w:rPr>
              <w:t xml:space="preserve">Implementation</w:t>
            </w:r>
          </w:p>
          <w:p>
            <w:pPr>
              <w:spacing w:after="0"/>
            </w:pPr>
            <w:r>
              <w:rPr>
                <w:rFonts w:ascii="Arial" w:cs="Arial" w:eastAsia="Arial" w:hAnsi="Arial"/>
                <w:color w:val="444455"/>
                <w:sz w:val="20"/>
                <w:szCs w:val="20"/>
              </w:rPr>
              <w:t xml:space="preserve">from sklearn.cluster import BisectingKMeans
from sklearn.preprocessing import StandardScaler
scaler = StandardScaler()
X_scaled = scaler.fit_transform(feature_matrix)
inertias = []
for k in range(5, 21):
    model = BisectingKMeans(n_clusters=k, random_state=42, n_init=3)
    model.fit(X_scaled)
    inertias.append({'k': k, 'inertia': model.inertia_})
# Plot inertia vs K — look for elbow point
# Typical finding: elbow at K=8 to K=12 for general publishers</w:t>
            </w:r>
          </w:p>
        </w:tc>
      </w:tr>
    </w:tbl>
    <w:p>
      <w:pPr>
        <w:spacing w:after="160"/>
      </w:pPr>
    </w:p>
    <w:p>
      <w:pPr>
        <w:pStyle w:val="Heading3"/>
        <w:spacing w:after="120" w:before="240"/>
      </w:pPr>
      <w:r>
        <w:rPr>
          <w:rFonts w:ascii="Arial" w:cs="Arial" w:eastAsia="Arial" w:hAnsi="Arial"/>
          <w:b/>
          <w:bCs/>
          <w:color w:val="0E6655"/>
          <w:sz w:val="24"/>
          <w:szCs w:val="24"/>
        </w:rPr>
        <w:t xml:space="preserve">Method 2 — Silhouette Score (Best Separation)</w:t>
      </w:r>
    </w:p>
    <w:p>
      <w:pPr>
        <w:spacing w:after="160"/>
      </w:pPr>
      <w:r>
        <w:rPr>
          <w:rFonts w:ascii="Arial" w:cs="Arial" w:eastAsia="Arial" w:hAnsi="Arial"/>
          <w:b w:val="false"/>
          <w:bCs w:val="false"/>
          <w:i w:val="false"/>
          <w:iCs w:val="false"/>
          <w:color w:val="444455"/>
          <w:sz w:val="21"/>
          <w:szCs w:val="21"/>
        </w:rPr>
        <w:t xml:space="preserve">The silhouette score measures how similar a user is to their own cluster vs other clusters. Range: -1 (wrong cluster) to +1 (perfect cluster). Target overall score &gt; 0.35. Run for K=5 to K=15 and select K with highest silhouette score.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7F9FA" w:val="clear"/>
            <w:tcMar>
              <w:top w:type="dxa" w:w="140"/>
              <w:left w:type="dxa" w:w="200"/>
              <w:bottom w:type="dxa" w:w="140"/>
              <w:right w:type="dxa" w:w="200"/>
            </w:tcMar>
          </w:tcPr>
          <w:p>
            <w:pPr>
              <w:spacing w:after="60"/>
            </w:pPr>
            <w:r>
              <w:rPr>
                <w:rFonts w:ascii="Arial" w:cs="Arial" w:eastAsia="Arial" w:hAnsi="Arial"/>
                <w:b/>
                <w:bCs/>
                <w:color w:val="0F2E52"/>
                <w:sz w:val="22"/>
                <w:szCs w:val="22"/>
              </w:rPr>
              <w:t xml:space="preserve">Implementation</w:t>
            </w:r>
          </w:p>
          <w:p>
            <w:pPr>
              <w:spacing w:after="0"/>
            </w:pPr>
            <w:r>
              <w:rPr>
                <w:rFonts w:ascii="Arial" w:cs="Arial" w:eastAsia="Arial" w:hAnsi="Arial"/>
                <w:color w:val="444455"/>
                <w:sz w:val="20"/>
                <w:szCs w:val="20"/>
              </w:rPr>
              <w:t xml:space="preserve">from sklearn.metrics import silhouette_score
silhouette_scores = []
for k in range(5, 16):
    labels = BisectingKMeans(n_clusters=k, random_state=42).fit_predict(X_scaled)
    score = silhouette_score(X_scaled, labels, sample_size=50000)  # sample for speed
    silhouette_scores.append({'k': k, 'silhouette': score})
best_k = max(silhouette_scores, key=lambda x: x['silhouette'])['k']</w:t>
            </w:r>
          </w:p>
        </w:tc>
      </w:tr>
    </w:tbl>
    <w:p>
      <w:pPr>
        <w:spacing w:after="160"/>
      </w:pPr>
    </w:p>
    <w:p>
      <w:pPr>
        <w:pStyle w:val="Heading3"/>
        <w:spacing w:after="120" w:before="240"/>
      </w:pPr>
      <w:r>
        <w:rPr>
          <w:rFonts w:ascii="Arial" w:cs="Arial" w:eastAsia="Arial" w:hAnsi="Arial"/>
          <w:b/>
          <w:bCs/>
          <w:color w:val="0E6655"/>
          <w:sz w:val="24"/>
          <w:szCs w:val="24"/>
        </w:rPr>
        <w:t xml:space="preserve">Method 3 — Business Interpretability Check</w:t>
      </w:r>
    </w:p>
    <w:p>
      <w:pPr>
        <w:spacing w:after="160"/>
      </w:pPr>
      <w:r>
        <w:rPr>
          <w:rFonts w:ascii="Arial" w:cs="Arial" w:eastAsia="Arial" w:hAnsi="Arial"/>
          <w:b w:val="false"/>
          <w:bCs w:val="false"/>
          <w:i w:val="false"/>
          <w:iCs w:val="false"/>
          <w:color w:val="444455"/>
          <w:sz w:val="21"/>
          <w:szCs w:val="21"/>
        </w:rPr>
        <w:t xml:space="preserve">After identifying the statistically optimal K, verify each cluster is actually interpretable and actionable for the business team. A cluster only earns its place if it passes three checks:</w:t>
      </w:r>
    </w:p>
    <w:p>
      <w:pPr>
        <w:pStyle w:val="ListParagraph"/>
        <w:numPr>
          <w:ilvl w:val="0"/>
          <w:numId w:val="2"/>
        </w:numPr>
        <w:spacing w:after="80"/>
      </w:pPr>
      <w:r>
        <w:rPr>
          <w:rFonts w:ascii="Arial" w:cs="Arial" w:eastAsia="Arial" w:hAnsi="Arial"/>
          <w:color w:val="444455"/>
          <w:sz w:val="21"/>
          <w:szCs w:val="21"/>
        </w:rPr>
        <w:t xml:space="preserve">It has a distinct, nameable behavioural profile (e.g. high sports ratio + high push click rate = Sports Focused)</w:t>
      </w:r>
    </w:p>
    <w:p>
      <w:pPr>
        <w:pStyle w:val="ListParagraph"/>
        <w:numPr>
          <w:ilvl w:val="0"/>
          <w:numId w:val="2"/>
        </w:numPr>
        <w:spacing w:after="80"/>
      </w:pPr>
      <w:r>
        <w:rPr>
          <w:rFonts w:ascii="Arial" w:cs="Arial" w:eastAsia="Arial" w:hAnsi="Arial"/>
          <w:color w:val="444455"/>
          <w:sz w:val="21"/>
          <w:szCs w:val="21"/>
        </w:rPr>
        <w:t xml:space="preserve">It has a distinct activation strategy that differs from adjacent clusters</w:t>
      </w:r>
    </w:p>
    <w:p>
      <w:pPr>
        <w:pStyle w:val="ListParagraph"/>
        <w:numPr>
          <w:ilvl w:val="0"/>
          <w:numId w:val="2"/>
        </w:numPr>
        <w:spacing w:after="80"/>
      </w:pPr>
      <w:r>
        <w:rPr>
          <w:rFonts w:ascii="Arial" w:cs="Arial" w:eastAsia="Arial" w:hAnsi="Arial"/>
          <w:color w:val="444455"/>
          <w:sz w:val="21"/>
          <w:szCs w:val="21"/>
        </w:rPr>
        <w:t xml:space="preserve">It contains at least 0.5% of total users (too small = not scalable for campaigns)</w:t>
      </w:r>
    </w:p>
    <w:p>
      <w:pPr>
        <w:spacing w:after="160"/>
      </w:pPr>
      <w:r>
        <w:rPr>
          <w:rFonts w:ascii="Arial" w:cs="Arial" w:eastAsia="Arial" w:hAnsi="Arial"/>
          <w:b w:val="false"/>
          <w:bCs w:val="false"/>
          <w:i w:val="false"/>
          <w:iCs w:val="false"/>
          <w:color w:val="444455"/>
          <w:sz w:val="21"/>
          <w:szCs w:val="21"/>
        </w:rPr>
        <w:t xml:space="preserve">If a cluster fails these checks, merge it with its nearest neighbour and reduce K by 1.</w:t>
      </w:r>
    </w:p>
    <w:p>
      <w:pPr>
        <w:spacing w:after="80"/>
      </w:pPr>
    </w:p>
    <w:p>
      <w:pPr>
        <w:pStyle w:val="Heading3"/>
        <w:spacing w:after="120" w:before="240"/>
      </w:pPr>
      <w:r>
        <w:rPr>
          <w:rFonts w:ascii="Arial" w:cs="Arial" w:eastAsia="Arial" w:hAnsi="Arial"/>
          <w:b/>
          <w:bCs/>
          <w:color w:val="0E6655"/>
          <w:sz w:val="24"/>
          <w:szCs w:val="24"/>
        </w:rPr>
        <w:t xml:space="preserve">Recommended K Ranges by Publisher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0E6655" w:sz="1"/>
              <w:left w:val="single" w:color="0E6655" w:sz="1"/>
              <w:bottom w:val="single" w:color="0E6655" w:sz="1"/>
              <w:right w:val="single" w:color="0E6655" w:sz="1"/>
            </w:tcBorders>
            <w:shd w:fill="0E6655"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Publisher Type</w:t>
            </w:r>
          </w:p>
        </w:tc>
        <w:tc>
          <w:tcPr>
            <w:tcW w:type="dxa" w:w="1400"/>
            <w:tcBorders>
              <w:top w:val="single" w:color="0E6655" w:sz="1"/>
              <w:left w:val="single" w:color="0E6655" w:sz="1"/>
              <w:bottom w:val="single" w:color="0E6655" w:sz="1"/>
              <w:right w:val="single" w:color="0E6655" w:sz="1"/>
            </w:tcBorders>
            <w:shd w:fill="0E6655"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Recommended K</w:t>
            </w:r>
          </w:p>
        </w:tc>
        <w:tc>
          <w:tcPr>
            <w:tcW w:type="dxa" w:w="5760"/>
            <w:tcBorders>
              <w:top w:val="single" w:color="0E6655" w:sz="1"/>
              <w:left w:val="single" w:color="0E6655" w:sz="1"/>
              <w:bottom w:val="single" w:color="0E6655" w:sz="1"/>
              <w:right w:val="single" w:color="0E6655" w:sz="1"/>
            </w:tcBorders>
            <w:shd w:fill="0E6655"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Small publisher (&lt; 1M users)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K = 5–7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Fewer users means less data per cluster. Over-segmenting creates clusters too small to activate meaningfully.</w:t>
            </w:r>
          </w:p>
        </w:tc>
      </w:tr>
      <w:tr>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Mid publisher (1M–10M users)</w:t>
            </w:r>
          </w:p>
        </w:tc>
        <w:tc>
          <w:tcPr>
            <w:tcW w:type="dxa" w:w="1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K = 7–9</w:t>
            </w:r>
          </w:p>
        </w:tc>
        <w:tc>
          <w:tcPr>
            <w:tcW w:type="dxa" w:w="5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Standard range. Matches NYPost's 9-cluster finding for a general-interest publisher.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Large publisher (10M–50M users)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K = 9–12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Larger user base supports finer-grained segmentation. Sub-cluster Low Engagers (32.9M at NYPost) into 2–3 groups.</w:t>
            </w:r>
          </w:p>
        </w:tc>
      </w:tr>
      <w:tr>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Niche/vertical publisher</w:t>
            </w:r>
          </w:p>
        </w:tc>
        <w:tc>
          <w:tcPr>
            <w:tcW w:type="dxa" w:w="1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K = 4–6</w:t>
            </w:r>
          </w:p>
        </w:tc>
        <w:tc>
          <w:tcPr>
            <w:tcW w:type="dxa" w:w="5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Sports-only or finance-only publishers have less content diversity. Fewer meaningful behavioural archetypes exist.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Multi-brand publisher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K = 12–15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Publisher operates multiple properties (e.g. news + sports + entertainment). Cross-property behaviours add cluster complexity.</w:t>
            </w:r>
          </w:p>
        </w:tc>
      </w:tr>
    </w:tbl>
    <w:p>
      <w:pPr>
        <w:spacing w:after="160"/>
      </w:pPr>
    </w:p>
    <w:p>
      <w:pPr>
        <w:pStyle w:val="Heading2"/>
        <w:spacing w:after="160" w:before="300"/>
      </w:pPr>
      <w:r>
        <w:rPr>
          <w:rFonts w:ascii="Arial" w:cs="Arial" w:eastAsia="Arial" w:hAnsi="Arial"/>
          <w:b/>
          <w:bCs/>
          <w:color w:val="1B4F8A"/>
          <w:sz w:val="30"/>
          <w:szCs w:val="30"/>
        </w:rPr>
        <w:t xml:space="preserve">3.3  Recommended Algorithm Pipeline (Per Client Deployment)</w:t>
      </w:r>
    </w:p>
    <w:p>
      <w:pPr>
        <w:spacing w:after="160"/>
      </w:pPr>
      <w:r>
        <w:rPr>
          <w:rFonts w:ascii="Arial" w:cs="Arial" w:eastAsia="Arial" w:hAnsi="Arial"/>
          <w:b w:val="false"/>
          <w:bCs w:val="false"/>
          <w:i w:val="false"/>
          <w:iCs w:val="false"/>
          <w:color w:val="444455"/>
          <w:sz w:val="21"/>
          <w:szCs w:val="21"/>
        </w:rPr>
        <w:t xml:space="preserve">The platform runs a standardised 4-stage algorithm evaluation on every new client deployment, then selects the best-performing configuration: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rPr>
          <w:tblHeader/>
        </w:trPr>
        <w:tc>
          <w:tcPr>
            <w:tcW w:type="dxa" w:w="20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Stage</w:t>
            </w:r>
          </w:p>
        </w:tc>
        <w:tc>
          <w:tcPr>
            <w:tcW w:type="dxa" w:w="28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Description</w:t>
            </w:r>
          </w:p>
        </w:tc>
        <w:tc>
          <w:tcPr>
            <w:tcW w:type="dxa" w:w="26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Output</w:t>
            </w:r>
          </w:p>
        </w:tc>
        <w:tc>
          <w:tcPr>
            <w:tcW w:type="dxa" w:w="19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Tooling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Stage 1: Discovery
(Week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Run HDBSCAN on the client's feature store. Do not specify K. Let the algorithm reveal the natural number of dense behavioural groups in this specific dataset. This gives you a data-driven K estimate before running K-Means.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HDBSCAN output: natural K = 7 (for example). Cluster size distribution. Outlier / noise user rate.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HDBSCAN on full dataset</w:t>
            </w:r>
          </w:p>
        </w:tc>
      </w:tr>
      <w:tr>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Stage 2: Evaluation
(Week 1–2)</w:t>
            </w:r>
          </w:p>
        </w:tc>
        <w:tc>
          <w:tcPr>
            <w:tcW w:type="dxa" w:w="2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Run Bisecting K-Means and GMM across K = natural_K ± 3 (e.g. K=5 to K=10 if HDBSCAN found K=7). Score each with silhouette, inertia elbow, and Davies-Bouldin index. Compute business interpretability score for top 3 candidates.</w:t>
            </w:r>
          </w:p>
        </w:tc>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Silhouette scores, inertia curves, Davies-Bouldin index, cluster size distributions for each K.</w:t>
            </w:r>
          </w:p>
        </w:tc>
        <w:tc>
          <w:tcPr>
            <w:tcW w:type="dxa" w:w="19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BisectingKMeans + GaussianMixture in parallel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Stage 3: Selection
(Week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Select the algorithm + K combination with highest combined score across: silhouette score (40% weight), business interpretability (40% weight), cluster stability across 3 runs (20% weight). Document rationale in MLflow.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Final algorithm selection: e.g. BisectingKMeans K=9 with silhouette=0.41. Or GMM K=8 if soft scores needed.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MLflow experiment tracking</w:t>
            </w:r>
          </w:p>
        </w:tc>
      </w:tr>
      <w:tr>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Stage 4: Production
(Week 3+)</w:t>
            </w:r>
          </w:p>
        </w:tc>
        <w:tc>
          <w:tcPr>
            <w:tcW w:type="dxa" w:w="2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Run selected algorithm weekly on new data. Monitor silhouette score and persona stability. Re-run Stage 2 evaluation if silhouette drops &gt; 0.05 or stability drops below 80% week-over-week for 3 consecutive weeks.</w:t>
            </w:r>
          </w:p>
        </w:tc>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Weekly silhouette, stability, coverage reports. Automated re-evaluation trigger.</w:t>
            </w:r>
          </w:p>
        </w:tc>
        <w:tc>
          <w:tcPr>
            <w:tcW w:type="dxa" w:w="19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Airflow DAG + Grafana monitoring</w:t>
            </w:r>
          </w:p>
        </w:tc>
      </w:tr>
    </w:tbl>
    <w:p>
      <w:pPr>
        <w:spacing w:after="160"/>
      </w:pPr>
    </w:p>
    <w:p>
      <w:pPr>
        <w:pStyle w:val="Heading2"/>
        <w:spacing w:after="160" w:before="300"/>
      </w:pPr>
      <w:r>
        <w:rPr>
          <w:rFonts w:ascii="Arial" w:cs="Arial" w:eastAsia="Arial" w:hAnsi="Arial"/>
          <w:b/>
          <w:bCs/>
          <w:color w:val="1B4F8A"/>
          <w:sz w:val="30"/>
          <w:szCs w:val="30"/>
        </w:rPr>
        <w:t xml:space="preserve">3.4  Expected ML Outputs &amp; Personas</w:t>
      </w:r>
    </w:p>
    <w:p>
      <w:pPr>
        <w:spacing w:after="160"/>
      </w:pPr>
      <w:r>
        <w:rPr>
          <w:rFonts w:ascii="Arial" w:cs="Arial" w:eastAsia="Arial" w:hAnsi="Arial"/>
          <w:b w:val="false"/>
          <w:bCs w:val="false"/>
          <w:i w:val="false"/>
          <w:iCs w:val="false"/>
          <w:color w:val="444455"/>
          <w:sz w:val="21"/>
          <w:szCs w:val="21"/>
        </w:rPr>
        <w:t xml:space="preserve">The pipeline produces persona assignments, propensity scores, soft membership probabilities (GMM), and model diagnostics.</w:t>
      </w:r>
    </w:p>
    <w:p>
      <w:pPr>
        <w:spacing w:after="80"/>
      </w:pPr>
    </w:p>
    <w:p>
      <w:pPr>
        <w:pStyle w:val="Heading3"/>
        <w:spacing w:after="120" w:before="240"/>
      </w:pPr>
      <w:r>
        <w:rPr>
          <w:rFonts w:ascii="Arial" w:cs="Arial" w:eastAsia="Arial" w:hAnsi="Arial"/>
          <w:b/>
          <w:bCs/>
          <w:color w:val="444455"/>
          <w:sz w:val="24"/>
          <w:szCs w:val="24"/>
        </w:rPr>
        <w:t xml:space="preserve">Primary Output: Persona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3400"/>
        <w:gridCol w:w="2860"/>
      </w:tblGrid>
      <w:tr>
        <w:trPr>
          <w:tblHeader/>
        </w:trPr>
        <w:tc>
          <w:tcPr>
            <w:tcW w:type="dxa" w:w="19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Persona</w:t>
            </w:r>
          </w:p>
        </w:tc>
        <w:tc>
          <w:tcPr>
            <w:tcW w:type="dxa" w:w="12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Approx. Size</w:t>
            </w:r>
          </w:p>
        </w:tc>
        <w:tc>
          <w:tcPr>
            <w:tcW w:type="dxa" w:w="34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Defining Characteristics</w:t>
            </w:r>
          </w:p>
        </w:tc>
        <w:tc>
          <w:tcPr>
            <w:tcW w:type="dxa" w:w="28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Primary Activation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loyalist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738K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High sessions, pageviews, desktop, subscription tenure. Core revenue base.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Renewal campaigns, premium content, loyalty rewards</w:t>
            </w:r>
          </w:p>
        </w:tc>
      </w:tr>
      <w:tr>
        <w:tc>
          <w:tcPr>
            <w:tcW w:type="dxa" w:w="19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subscription_focused</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1.8M</w:t>
            </w:r>
          </w:p>
        </w:tc>
        <w:tc>
          <w:tcPr>
            <w:tcW w:type="dxa" w:w="3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High newsletter subscriptions, registration completeness, Sports+ uptake.</w:t>
            </w:r>
          </w:p>
        </w:tc>
        <w:tc>
          <w:tcPr>
            <w:tcW w:type="dxa" w:w="28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Subscription conversion, tier upsell</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high_value_shopper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413K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Highest commerce clicks, conversion rate, avg transaction value.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Premium affiliate placements, retail campaigns</w:t>
            </w:r>
          </w:p>
        </w:tc>
      </w:tr>
      <w:tr>
        <w:tc>
          <w:tcPr>
            <w:tcW w:type="dxa" w:w="19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sports_focused</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6.6M</w:t>
            </w:r>
          </w:p>
        </w:tc>
        <w:tc>
          <w:tcPr>
            <w:tcW w:type="dxa" w:w="3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Highest sports ratio, Sports+ subscriptions, high push click rate.</w:t>
            </w:r>
          </w:p>
        </w:tc>
        <w:tc>
          <w:tcPr>
            <w:tcW w:type="dxa" w:w="28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Sports+ upsell, sports brand advertising</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social_engager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5M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Highest comments, likes, shares. Community-first behaviour.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Community features, UGC campaigns</w:t>
            </w:r>
          </w:p>
        </w:tc>
      </w:tr>
      <w:tr>
        <w:tc>
          <w:tcPr>
            <w:tcW w:type="dxa" w:w="19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occasional_buyer</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1.9M</w:t>
            </w:r>
          </w:p>
        </w:tc>
        <w:tc>
          <w:tcPr>
            <w:tcW w:type="dxa" w:w="3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Moderate commerce, highest shopping content views.</w:t>
            </w:r>
          </w:p>
        </w:tc>
        <w:tc>
          <w:tcPr>
            <w:tcW w:type="dxa" w:w="28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Retargeting, commerce content promotion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celebrity_entertainment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6.3M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Highest celebrity/entertainment ratio, high social engagement.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Entertainment brand advertising, Page Six campaigns</w:t>
            </w:r>
          </w:p>
        </w:tc>
      </w:tr>
      <w:tr>
        <w:tc>
          <w:tcPr>
            <w:tcW w:type="dxa" w:w="19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casual_reader</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10M</w:t>
            </w:r>
          </w:p>
        </w:tc>
        <w:tc>
          <w:tcPr>
            <w:tcW w:type="dxa" w:w="3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Broad content, moderate sessions, low subscription intent.</w:t>
            </w:r>
          </w:p>
        </w:tc>
        <w:tc>
          <w:tcPr>
            <w:tcW w:type="dxa" w:w="28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Newsletter acquisition, recommendation engine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low_engager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32.9M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Lowest engagement across all signals. No strong content preference.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Re-engagement flows, win-back sequences</w:t>
            </w:r>
          </w:p>
        </w:tc>
      </w:tr>
    </w:tbl>
    <w:p>
      <w:pPr>
        <w:spacing w:after="80"/>
      </w:pPr>
    </w:p>
    <w:p>
      <w:pPr>
        <w:pStyle w:val="Heading3"/>
        <w:spacing w:after="120" w:before="240"/>
      </w:pPr>
      <w:r>
        <w:rPr>
          <w:rFonts w:ascii="Arial" w:cs="Arial" w:eastAsia="Arial" w:hAnsi="Arial"/>
          <w:b/>
          <w:bCs/>
          <w:color w:val="444455"/>
          <w:sz w:val="24"/>
          <w:szCs w:val="24"/>
        </w:rPr>
        <w:t xml:space="preserve">Secondary Output: Propensity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0E6655" w:sz="1"/>
              <w:left w:val="single" w:color="0E6655" w:sz="1"/>
              <w:bottom w:val="single" w:color="0E6655" w:sz="1"/>
              <w:right w:val="single" w:color="0E6655" w:sz="1"/>
            </w:tcBorders>
            <w:shd w:fill="0E6655"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Score</w:t>
            </w:r>
          </w:p>
        </w:tc>
        <w:tc>
          <w:tcPr>
            <w:tcW w:type="dxa" w:w="1500"/>
            <w:tcBorders>
              <w:top w:val="single" w:color="0E6655" w:sz="1"/>
              <w:left w:val="single" w:color="0E6655" w:sz="1"/>
              <w:bottom w:val="single" w:color="0E6655" w:sz="1"/>
              <w:right w:val="single" w:color="0E6655" w:sz="1"/>
            </w:tcBorders>
            <w:shd w:fill="0E6655"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Type</w:t>
            </w:r>
          </w:p>
        </w:tc>
        <w:tc>
          <w:tcPr>
            <w:tcW w:type="dxa" w:w="5260"/>
            <w:tcBorders>
              <w:top w:val="single" w:color="0E6655" w:sz="1"/>
              <w:left w:val="single" w:color="0E6655" w:sz="1"/>
              <w:bottom w:val="single" w:color="0E6655" w:sz="1"/>
              <w:right w:val="single" w:color="0E6655" w:sz="1"/>
            </w:tcBorders>
            <w:shd w:fill="0E6655"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Derivation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subscription_propensity_score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FLOAT 0.0–1.0</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Likelihood of converting to paid subscription within 90 days. Derived from cluster distance to subscription_focused centroid + has_subscription + newsletter_count.</w:t>
            </w:r>
          </w:p>
        </w:tc>
      </w:tr>
      <w:tr>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churn_propensity_score</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FLOAT 0.0–1.0</w:t>
            </w:r>
          </w:p>
        </w:tc>
        <w:tc>
          <w:tcPr>
            <w:tcW w:type="dxa" w:w="52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Likelihood of cancellation within 30 days. Derived from days_since_last_visit trend, bounce_rate trajectory, distance from loyalist centroid.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commerce_propensity_score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FLOAT 0.0–1.0</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Likelihood of affiliate click resulting in transaction. Derived from distance to high_value_shopper centroid + historical conversion_rate.</w:t>
            </w:r>
          </w:p>
        </w:tc>
      </w:tr>
      <w:tr>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soft_persona_scores (GMM only)</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FLOAT[] — 9 values summing to 1.0</w:t>
            </w:r>
          </w:p>
        </w:tc>
        <w:tc>
          <w:tcPr>
            <w:tcW w:type="dxa" w:w="52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Posterior probability of membership in each cluster. E.g. [0.65 loyalist, 0.25 subscription_focused, 0.10 casual_reader]. Enables nuanced targeting for borderline users.</w:t>
            </w:r>
          </w:p>
        </w:tc>
      </w:tr>
    </w:tbl>
    <w:p>
      <w:pPr>
        <w:spacing w:after="80"/>
      </w:pPr>
    </w:p>
    <w:p>
      <w:pPr>
        <w:pStyle w:val="Heading3"/>
        <w:spacing w:after="120" w:before="240"/>
      </w:pPr>
      <w:r>
        <w:rPr>
          <w:rFonts w:ascii="Arial" w:cs="Arial" w:eastAsia="Arial" w:hAnsi="Arial"/>
          <w:b/>
          <w:bCs/>
          <w:color w:val="444455"/>
          <w:sz w:val="24"/>
          <w:szCs w:val="24"/>
        </w:rPr>
        <w:t xml:space="preserve">Tertiary Output: Model Diagnostics (per run)</w:t>
      </w:r>
    </w:p>
    <w:p>
      <w:pPr>
        <w:pStyle w:val="ListParagraph"/>
        <w:numPr>
          <w:ilvl w:val="0"/>
          <w:numId w:val="2"/>
        </w:numPr>
        <w:spacing w:after="80"/>
      </w:pPr>
      <w:r>
        <w:rPr>
          <w:rFonts w:ascii="Arial" w:cs="Arial" w:eastAsia="Arial" w:hAnsi="Arial"/>
          <w:color w:val="444455"/>
          <w:sz w:val="21"/>
          <w:szCs w:val="21"/>
        </w:rPr>
        <w:t xml:space="preserve">Overall silhouette score and per-cluster silhouette scores</w:t>
      </w:r>
    </w:p>
    <w:p>
      <w:pPr>
        <w:pStyle w:val="ListParagraph"/>
        <w:numPr>
          <w:ilvl w:val="0"/>
          <w:numId w:val="2"/>
        </w:numPr>
        <w:spacing w:after="80"/>
      </w:pPr>
      <w:r>
        <w:rPr>
          <w:rFonts w:ascii="Arial" w:cs="Arial" w:eastAsia="Arial" w:hAnsi="Arial"/>
          <w:color w:val="444455"/>
          <w:sz w:val="21"/>
          <w:szCs w:val="21"/>
        </w:rPr>
        <w:t xml:space="preserve">Algorithm used and K selected for this run</w:t>
      </w:r>
    </w:p>
    <w:p>
      <w:pPr>
        <w:pStyle w:val="ListParagraph"/>
        <w:numPr>
          <w:ilvl w:val="0"/>
          <w:numId w:val="2"/>
        </w:numPr>
        <w:spacing w:after="80"/>
      </w:pPr>
      <w:r>
        <w:rPr>
          <w:rFonts w:ascii="Arial" w:cs="Arial" w:eastAsia="Arial" w:hAnsi="Arial"/>
          <w:color w:val="444455"/>
          <w:sz w:val="21"/>
          <w:szCs w:val="21"/>
        </w:rPr>
        <w:t xml:space="preserve">Inertia curve across K=5 to K=15 (stored in MLflow)</w:t>
      </w:r>
    </w:p>
    <w:p>
      <w:pPr>
        <w:pStyle w:val="ListParagraph"/>
        <w:numPr>
          <w:ilvl w:val="0"/>
          <w:numId w:val="2"/>
        </w:numPr>
        <w:spacing w:after="80"/>
      </w:pPr>
      <w:r>
        <w:rPr>
          <w:rFonts w:ascii="Arial" w:cs="Arial" w:eastAsia="Arial" w:hAnsi="Arial"/>
          <w:color w:val="444455"/>
          <w:sz w:val="21"/>
          <w:szCs w:val="21"/>
        </w:rPr>
        <w:t xml:space="preserve">Persona stability report: % of users who changed persona vs prior week</w:t>
      </w:r>
    </w:p>
    <w:p>
      <w:pPr>
        <w:pStyle w:val="ListParagraph"/>
        <w:numPr>
          <w:ilvl w:val="0"/>
          <w:numId w:val="2"/>
        </w:numPr>
        <w:spacing w:after="80"/>
      </w:pPr>
      <w:r>
        <w:rPr>
          <w:rFonts w:ascii="Arial" w:cs="Arial" w:eastAsia="Arial" w:hAnsi="Arial"/>
          <w:color w:val="444455"/>
          <w:sz w:val="21"/>
          <w:szCs w:val="21"/>
        </w:rPr>
        <w:t xml:space="preserve">Feature importance per cluster: top 5 features driving each centroid</w:t>
      </w:r>
    </w:p>
    <w:p>
      <w:pPr>
        <w:pStyle w:val="ListParagraph"/>
        <w:numPr>
          <w:ilvl w:val="0"/>
          <w:numId w:val="2"/>
        </w:numPr>
        <w:spacing w:after="80"/>
      </w:pPr>
      <w:r>
        <w:rPr>
          <w:rFonts w:ascii="Arial" w:cs="Arial" w:eastAsia="Arial" w:hAnsi="Arial"/>
          <w:color w:val="444455"/>
          <w:sz w:val="21"/>
          <w:szCs w:val="21"/>
        </w:rPr>
        <w:t xml:space="preserve">Coverage report: % of users with data from each source system</w:t>
      </w:r>
    </w:p>
    <w:p>
      <w:pPr>
        <w:pStyle w:val="ListParagraph"/>
        <w:numPr>
          <w:ilvl w:val="0"/>
          <w:numId w:val="2"/>
        </w:numPr>
        <w:spacing w:after="80"/>
      </w:pPr>
      <w:r>
        <w:rPr>
          <w:rFonts w:ascii="Arial" w:cs="Arial" w:eastAsia="Arial" w:hAnsi="Arial"/>
          <w:color w:val="444455"/>
          <w:sz w:val="21"/>
          <w:szCs w:val="21"/>
        </w:rPr>
        <w:t xml:space="preserve">Outlier rate: % of users classified as noise by HDBSCAN in discovery stage</w:t>
      </w:r>
    </w:p>
    <w:p>
      <w:pPr>
        <w:spacing w:after="160"/>
      </w:pPr>
    </w:p>
    <w:p>
      <w:r>
        <w:br w:type="page"/>
      </w:r>
    </w:p>
    <w:p>
      <w:pPr>
        <w:pStyle w:val="Heading1"/>
        <w:pBdr>
          <w:bottom w:val="single" w:color="1B4F8A" w:sz="8" w:space="4"/>
        </w:pBdr>
        <w:spacing w:after="200" w:before="400"/>
      </w:pPr>
      <w:r>
        <w:rPr>
          <w:rFonts w:ascii="Arial" w:cs="Arial" w:eastAsia="Arial" w:hAnsi="Arial"/>
          <w:b/>
          <w:bCs/>
          <w:color w:val="0F2E52"/>
          <w:sz w:val="40"/>
          <w:szCs w:val="40"/>
        </w:rPr>
        <w:t xml:space="preserve">4. Expected KPIs</w:t>
      </w:r>
    </w:p>
    <w:p>
      <w:pPr>
        <w:spacing w:after="160"/>
      </w:pPr>
      <w:r>
        <w:rPr>
          <w:rFonts w:ascii="Arial" w:cs="Arial" w:eastAsia="Arial" w:hAnsi="Arial"/>
          <w:b w:val="false"/>
          <w:bCs w:val="false"/>
          <w:i w:val="false"/>
          <w:iCs w:val="false"/>
          <w:color w:val="444455"/>
          <w:sz w:val="21"/>
          <w:szCs w:val="21"/>
        </w:rPr>
        <w:t xml:space="preserve">KPIs are measured at two levels: ML model quality (is the clustering working?) and business performance (is it making money?).</w:t>
      </w:r>
    </w:p>
    <w:p>
      <w:pPr>
        <w:spacing w:after="160"/>
      </w:pPr>
    </w:p>
    <w:p>
      <w:pPr>
        <w:pStyle w:val="Heading2"/>
        <w:spacing w:after="160" w:before="300"/>
      </w:pPr>
      <w:r>
        <w:rPr>
          <w:rFonts w:ascii="Arial" w:cs="Arial" w:eastAsia="Arial" w:hAnsi="Arial"/>
          <w:b/>
          <w:bCs/>
          <w:color w:val="1B4F8A"/>
          <w:sz w:val="30"/>
          <w:szCs w:val="30"/>
        </w:rPr>
        <w:t xml:space="preserve">4.1  ML Model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000"/>
        <w:gridCol w:w="1300"/>
        <w:gridCol w:w="2360"/>
      </w:tblGrid>
      <w:tr>
        <w:trPr>
          <w:tblHeader/>
        </w:trPr>
        <w:tc>
          <w:tcPr>
            <w:tcW w:type="dxa" w:w="1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KPI</w:t>
            </w:r>
          </w:p>
        </w:tc>
        <w:tc>
          <w:tcPr>
            <w:tcW w:type="dxa" w:w="22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Definition</w:t>
            </w:r>
          </w:p>
        </w:tc>
        <w:tc>
          <w:tcPr>
            <w:tcW w:type="dxa" w:w="20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Target</w:t>
            </w:r>
          </w:p>
        </w:tc>
        <w:tc>
          <w:tcPr>
            <w:tcW w:type="dxa" w:w="13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Cadence</w:t>
            </w:r>
          </w:p>
        </w:tc>
        <w:tc>
          <w:tcPr>
            <w:tcW w:type="dxa" w:w="23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Alert Rule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Silhouette 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How well-separated the clusters are. Higher = better defined personas.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&gt; 0.35 overall
&gt; 0.25 per cluster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Weekly, each run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Alert if drops &gt; 0.05 vs prior week</w:t>
            </w:r>
          </w:p>
        </w:tc>
      </w:tr>
      <w:tr>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Persona Stability</w:t>
            </w:r>
          </w:p>
        </w:tc>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 of users with same persona as prior week. Low stability = noisy features or data quality issue.</w:t>
            </w:r>
          </w:p>
        </w:tc>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&gt; 85% week-over-week</w:t>
            </w:r>
          </w:p>
        </w:tc>
        <w:tc>
          <w:tcPr>
            <w:tcW w:type="dxa" w:w="13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Weekly</w:t>
            </w:r>
          </w:p>
        </w:tc>
        <w:tc>
          <w:tcPr>
            <w:tcW w:type="dxa" w:w="2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Re-run Stage 2 evaluation if &lt; 80% for 3 consecutive weeks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Algorithm Consistency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 agreement between Bisecting K-Means and GMM on persona assignments (used as ensemble validation).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&gt; 75% agreement on non-Low-Engager users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Weekly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Trigger ensemble mode if &lt; 70% agreement</w:t>
            </w:r>
          </w:p>
        </w:tc>
      </w:tr>
      <w:tr>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Feature Coverage</w:t>
            </w:r>
          </w:p>
        </w:tc>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 of users with data from each source. Drops indicate pipeline failures.</w:t>
            </w:r>
          </w:p>
        </w:tc>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&gt; 95% GA4
&gt; 65% Transunion</w:t>
            </w:r>
          </w:p>
        </w:tc>
        <w:tc>
          <w:tcPr>
            <w:tcW w:type="dxa" w:w="13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Daily</w:t>
            </w:r>
          </w:p>
        </w:tc>
        <w:tc>
          <w:tcPr>
            <w:tcW w:type="dxa" w:w="2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Page-duty alert if GA4 &lt; 90%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Cluster Size Balance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No cluster &gt; 60% or &lt; 0.5% of users. Extreme imbalance suggests K is wrong.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Largest cluster &lt; 60% of total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Weekly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Re-evaluate K if Low Engager &gt; 60%</w:t>
            </w:r>
          </w:p>
        </w:tc>
      </w:tr>
    </w:tbl>
    <w:p>
      <w:pPr>
        <w:spacing w:after="160"/>
      </w:pPr>
    </w:p>
    <w:p>
      <w:pPr>
        <w:pStyle w:val="Heading2"/>
        <w:spacing w:after="160" w:before="300"/>
      </w:pPr>
      <w:r>
        <w:rPr>
          <w:rFonts w:ascii="Arial" w:cs="Arial" w:eastAsia="Arial" w:hAnsi="Arial"/>
          <w:b/>
          <w:bCs/>
          <w:color w:val="1B4F8A"/>
          <w:sz w:val="30"/>
          <w:szCs w:val="30"/>
        </w:rPr>
        <w:t xml:space="preserve">4.2  Business Performance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000"/>
        <w:gridCol w:w="1300"/>
        <w:gridCol w:w="1960"/>
      </w:tblGrid>
      <w:tr>
        <w:trPr>
          <w:tblHeader/>
        </w:trPr>
        <w:tc>
          <w:tcPr>
            <w:tcW w:type="dxa" w:w="17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KPI</w:t>
            </w:r>
          </w:p>
        </w:tc>
        <w:tc>
          <w:tcPr>
            <w:tcW w:type="dxa" w:w="24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Definition</w:t>
            </w:r>
          </w:p>
        </w:tc>
        <w:tc>
          <w:tcPr>
            <w:tcW w:type="dxa" w:w="20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Target</w:t>
            </w:r>
          </w:p>
        </w:tc>
        <w:tc>
          <w:tcPr>
            <w:tcW w:type="dxa" w:w="13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Cadence</w:t>
            </w:r>
          </w:p>
        </w:tc>
        <w:tc>
          <w:tcPr>
            <w:tcW w:type="dxa" w:w="19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Alert Rule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Newsletter CTR by Persona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Click-through rate on personalised newsletters vs control group (non-segmented sends).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+ 30–50% CTR lift vs control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Per send / weekly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Flag if lift &lt; 15% for 3 consecutive weeks</w:t>
            </w:r>
          </w:p>
        </w:tc>
      </w:tr>
      <w:tr>
        <w:tc>
          <w:tcPr>
            <w:tcW w:type="dxa" w:w="1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Subscription Conversion Rate</w:t>
            </w:r>
          </w:p>
        </w:tc>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 of Subscription-Focused + Loyalist users converting to paid plan within 90 days of persona assignment.</w:t>
            </w:r>
          </w:p>
        </w:tc>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+ 15–25% vs non-segmented baseline</w:t>
            </w:r>
          </w:p>
        </w:tc>
        <w:tc>
          <w:tcPr>
            <w:tcW w:type="dxa" w:w="13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Monthly</w:t>
            </w:r>
          </w:p>
        </w:tc>
        <w:tc>
          <w:tcPr>
            <w:tcW w:type="dxa" w:w="19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Alert if conversion rate drops &gt; 5% vs prior month</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Ad CPM by Segment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Average CPM for programmatic ads served to each persona vs run-of-site.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+ 20–40% premium for Sports Focused and High Value Shoppers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Monthly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Report to revenue team monthly</w:t>
            </w:r>
          </w:p>
        </w:tc>
      </w:tr>
      <w:tr>
        <w:tc>
          <w:tcPr>
            <w:tcW w:type="dxa" w:w="1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Revenue Per User (RPU)</w:t>
            </w:r>
          </w:p>
        </w:tc>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Total revenue (subscription + affiliate + ad) per active user per persona cohort.</w:t>
            </w:r>
          </w:p>
        </w:tc>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High Value Shoppers RPU &gt; 5x Low Engager RPU</w:t>
            </w:r>
          </w:p>
        </w:tc>
        <w:tc>
          <w:tcPr>
            <w:tcW w:type="dxa" w:w="13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Monthly</w:t>
            </w:r>
          </w:p>
        </w:tc>
        <w:tc>
          <w:tcPr>
            <w:tcW w:type="dxa" w:w="19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Track cohort RPU trend over 6 months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Churn Rate by Persona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Monthly subscriber cancellation rate per persona segment.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Overall churn - 20% YoY after activation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Monthly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Alert if any persona churn &gt; 5% in a month</w:t>
            </w:r>
          </w:p>
        </w:tc>
      </w:tr>
      <w:tr>
        <w:tc>
          <w:tcPr>
            <w:tcW w:type="dxa" w:w="1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Re-engagement Rate</w:t>
            </w:r>
          </w:p>
        </w:tc>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 of Low Engagers who increase sessions by &gt; 50% within 30 days of targeted re-engagement campaign.</w:t>
            </w:r>
          </w:p>
        </w:tc>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5–10% re-engagement rate</w:t>
            </w:r>
          </w:p>
        </w:tc>
        <w:tc>
          <w:tcPr>
            <w:tcW w:type="dxa" w:w="13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Per campaign</w:t>
            </w:r>
          </w:p>
        </w:tc>
        <w:tc>
          <w:tcPr>
            <w:tcW w:type="dxa" w:w="19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Benchmark each campaign vs prior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Persona Coverage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 of total registered users with an active ML-assigned persona (vs excluded new 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 80% of registered users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Weekly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Alert if coverage drops below 75%</w:t>
            </w:r>
          </w:p>
        </w:tc>
      </w:tr>
      <w:tr>
        <w:tc>
          <w:tcPr>
            <w:tcW w:type="dxa" w:w="1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8"/>
                <w:szCs w:val="18"/>
              </w:rPr>
              <w:t xml:space="preserve">Commerce Conversion Rate</w:t>
            </w:r>
          </w:p>
        </w:tc>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 of affiliate clicks converting to purchase for segmented High Value Shoppers vs non-segmented baseline.</w:t>
            </w:r>
          </w:p>
        </w:tc>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+ 25% conversion lift vs non-segmented</w:t>
            </w:r>
          </w:p>
        </w:tc>
        <w:tc>
          <w:tcPr>
            <w:tcW w:type="dxa" w:w="13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Monthly</w:t>
            </w:r>
          </w:p>
        </w:tc>
        <w:tc>
          <w:tcPr>
            <w:tcW w:type="dxa" w:w="19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8"/>
                <w:szCs w:val="18"/>
              </w:rPr>
              <w:t xml:space="preserve">Monthly affiliate performance report</w:t>
            </w:r>
          </w:p>
        </w:tc>
      </w:tr>
    </w:tbl>
    <w:p>
      <w:pPr>
        <w:spacing w:after="160"/>
      </w:pPr>
    </w:p>
    <w:p>
      <w:r>
        <w:br w:type="page"/>
      </w:r>
    </w:p>
    <w:p>
      <w:pPr>
        <w:pStyle w:val="Heading1"/>
        <w:pBdr>
          <w:bottom w:val="single" w:color="1B4F8A" w:sz="8" w:space="4"/>
        </w:pBdr>
        <w:spacing w:after="200" w:before="400"/>
      </w:pPr>
      <w:r>
        <w:rPr>
          <w:rFonts w:ascii="Arial" w:cs="Arial" w:eastAsia="Arial" w:hAnsi="Arial"/>
          <w:b/>
          <w:bCs/>
          <w:color w:val="0F2E52"/>
          <w:sz w:val="40"/>
          <w:szCs w:val="40"/>
        </w:rPr>
        <w:t xml:space="preserve">5. Data Volume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200" w:sz="1"/>
              <w:left w:val="single" w:color="9A6200" w:sz="1"/>
              <w:bottom w:val="single" w:color="9A6200" w:sz="1"/>
              <w:right w:val="single" w:color="9A6200" w:sz="1"/>
            </w:tcBorders>
            <w:shd w:fill="FEF9E7" w:val="clear"/>
            <w:tcMar>
              <w:top w:type="dxa" w:w="140"/>
              <w:left w:type="dxa" w:w="200"/>
              <w:bottom w:type="dxa" w:w="140"/>
              <w:right w:type="dxa" w:w="200"/>
            </w:tcMar>
          </w:tcPr>
          <w:p>
            <w:pPr>
              <w:spacing w:after="60"/>
            </w:pPr>
            <w:r>
              <w:rPr>
                <w:rFonts w:ascii="Arial" w:cs="Arial" w:eastAsia="Arial" w:hAnsi="Arial"/>
                <w:b/>
                <w:bCs/>
                <w:color w:val="0F2E52"/>
                <w:sz w:val="22"/>
                <w:szCs w:val="22"/>
              </w:rPr>
              <w:t xml:space="preserve">NYPost Benchmark</w:t>
            </w:r>
          </w:p>
          <w:p>
            <w:pPr>
              <w:spacing w:after="0"/>
            </w:pPr>
            <w:r>
              <w:rPr>
                <w:rFonts w:ascii="Arial" w:cs="Arial" w:eastAsia="Arial" w:hAnsi="Arial"/>
                <w:color w:val="444455"/>
                <w:sz w:val="20"/>
                <w:szCs w:val="20"/>
              </w:rPr>
              <w:t xml:space="preserve">NYPost Data Labs processed 66 million total users. Their feature store was built from event-level data across 8 source systems. This blueprint uses that as the large-scale benchmark and scales down to smaller deployments.</w:t>
            </w:r>
          </w:p>
        </w:tc>
      </w:tr>
    </w:tbl>
    <w:p>
      <w:pPr>
        <w:spacing w:after="200"/>
      </w:pPr>
    </w:p>
    <w:p>
      <w:pPr>
        <w:pStyle w:val="Heading2"/>
        <w:spacing w:after="160" w:before="300"/>
      </w:pPr>
      <w:r>
        <w:rPr>
          <w:rFonts w:ascii="Arial" w:cs="Arial" w:eastAsia="Arial" w:hAnsi="Arial"/>
          <w:b/>
          <w:bCs/>
          <w:color w:val="1B4F8A"/>
          <w:sz w:val="30"/>
          <w:szCs w:val="30"/>
        </w:rPr>
        <w:t xml:space="preserve">5.1  Row Counts per Source (per year, per 1M registered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Table</w:t>
            </w:r>
          </w:p>
        </w:tc>
        <w:tc>
          <w:tcPr>
            <w:tcW w:type="dxa" w:w="18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Volume</w:t>
            </w:r>
          </w:p>
        </w:tc>
        <w:tc>
          <w:tcPr>
            <w:tcW w:type="dxa" w:w="28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Notes</w:t>
            </w:r>
          </w:p>
        </w:tc>
        <w:tc>
          <w:tcPr>
            <w:tcW w:type="dxa" w:w="25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Refresh Pattern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zephr_users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1M rows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1 row per user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Registration write + incremental updates</w:t>
            </w:r>
          </w:p>
        </w:tc>
      </w:tr>
      <w:tr>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ga4_events</w:t>
            </w:r>
          </w:p>
        </w:tc>
        <w:tc>
          <w:tcPr>
            <w:tcW w:type="dxa" w:w="1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200M–500M rows</w:t>
            </w:r>
          </w:p>
        </w:tc>
        <w:tc>
          <w:tcPr>
            <w:tcW w:type="dxa" w:w="2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200–500 events per user per year</w:t>
            </w:r>
          </w:p>
        </w:tc>
        <w:tc>
          <w:tcPr>
            <w:tcW w:type="dxa" w:w="25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Daily BigQuery export, partitioned by 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sailthru_newsletter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1M rows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1 aggregate row per user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Weekly refresh or daily delta</w:t>
            </w:r>
          </w:p>
        </w:tc>
      </w:tr>
      <w:tr>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braintree_subscriptions</w:t>
            </w:r>
          </w:p>
        </w:tc>
        <w:tc>
          <w:tcPr>
            <w:tcW w:type="dxa" w:w="1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50K–150K rows</w:t>
            </w:r>
          </w:p>
        </w:tc>
        <w:tc>
          <w:tcPr>
            <w:tcW w:type="dxa" w:w="2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5–15% are paying subscribers</w:t>
            </w:r>
          </w:p>
        </w:tc>
        <w:tc>
          <w:tcPr>
            <w:tcW w:type="dxa" w:w="25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Event-driven on state 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pushly_subscribers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300K–400K rows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30–40% opt into push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Daily delta sync</w:t>
            </w:r>
          </w:p>
        </w:tc>
      </w:tr>
      <w:tr>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openweb_engagement</w:t>
            </w:r>
          </w:p>
        </w:tc>
        <w:tc>
          <w:tcPr>
            <w:tcW w:type="dxa" w:w="1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200K–250K rows</w:t>
            </w:r>
          </w:p>
        </w:tc>
        <w:tc>
          <w:tcPr>
            <w:tcW w:type="dxa" w:w="2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20–25% engage socially</w:t>
            </w:r>
          </w:p>
        </w:tc>
        <w:tc>
          <w:tcPr>
            <w:tcW w:type="dxa" w:w="25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Daily delta sync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trackonomics_clicks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5M–15M rows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Multiple clicks per commerce user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Daily SFTP export</w:t>
            </w:r>
          </w:p>
        </w:tc>
      </w:tr>
      <w:tr>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transunion_demographics</w:t>
            </w:r>
          </w:p>
        </w:tc>
        <w:tc>
          <w:tcPr>
            <w:tcW w:type="dxa" w:w="1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700K rows</w:t>
            </w:r>
          </w:p>
        </w:tc>
        <w:tc>
          <w:tcPr>
            <w:tcW w:type="dxa" w:w="2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70% hashed email match rate</w:t>
            </w:r>
          </w:p>
        </w:tc>
        <w:tc>
          <w:tcPr>
            <w:tcW w:type="dxa" w:w="25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Monthly batch refresh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feature_store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1M rows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1 row per registered user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Weekly full rebuild</w:t>
            </w:r>
          </w:p>
        </w:tc>
      </w:tr>
    </w:tbl>
    <w:p>
      <w:pPr>
        <w:spacing w:after="160"/>
      </w:pPr>
    </w:p>
    <w:p>
      <w:pPr>
        <w:pStyle w:val="Heading2"/>
        <w:spacing w:after="160" w:before="300"/>
      </w:pPr>
      <w:r>
        <w:rPr>
          <w:rFonts w:ascii="Arial" w:cs="Arial" w:eastAsia="Arial" w:hAnsi="Arial"/>
          <w:b/>
          <w:bCs/>
          <w:color w:val="1B4F8A"/>
          <w:sz w:val="30"/>
          <w:szCs w:val="30"/>
        </w:rPr>
        <w:t xml:space="preserve">5.2  Scaling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500"/>
        <w:gridCol w:w="3160"/>
      </w:tblGrid>
      <w:tr>
        <w:trPr>
          <w:tblHeader/>
        </w:trPr>
        <w:tc>
          <w:tcPr>
            <w:tcW w:type="dxa" w:w="1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Tier</w:t>
            </w:r>
          </w:p>
        </w:tc>
        <w:tc>
          <w:tcPr>
            <w:tcW w:type="dxa" w:w="22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Infrastructure</w:t>
            </w:r>
          </w:p>
        </w:tc>
        <w:tc>
          <w:tcPr>
            <w:tcW w:type="dxa" w:w="2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Cadence</w:t>
            </w:r>
          </w:p>
        </w:tc>
        <w:tc>
          <w:tcPr>
            <w:tcW w:type="dxa" w:w="31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Stack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Small
&lt; 1M users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Single machine or small cloud instance. Feature store fits in RAM. K-Means runs in &lt; 30 min. All 5 algorithms evaluatable in &lt; 2 hours.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Monthly clustering cadence acceptable. Weekly if data changes rapidly.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Pandas + scikit-learn. No Spark needed.</w:t>
            </w:r>
          </w:p>
        </w:tc>
      </w:tr>
      <w:tr>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Mid
1M–10M users</w:t>
            </w:r>
          </w:p>
        </w:tc>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Cloud VM (32–64GB RAM). Dask for feature engineering. Algorithm evaluation in 2–4 hours. Bisecting K-Means production run in &lt; 1 hour.</w:t>
            </w:r>
          </w:p>
        </w:tc>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Weekly clustering. Daily feature refresh (no re-clustering daily).</w:t>
            </w:r>
          </w:p>
        </w:tc>
        <w:tc>
          <w:tcPr>
            <w:tcW w:type="dxa" w:w="3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Dask + scikit-learn. BigQuery or Redshift for storage.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Large
10M–50M users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Spark cluster (5–10 nodes, 32GB RAM each). Feature engineering in &lt; 2 hours. Full algorithm evaluation in 4–8 hours. Production K-Means run in 2–3 hours.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Weekly clustering. Daily feature refresh. Consider sampling for HDBSCAN discovery phase.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PySpark + Spark MLlib. BigQuery/Redshift. Airflow orchestration.</w:t>
            </w:r>
          </w:p>
        </w:tc>
      </w:tr>
      <w:tr>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NYPost Scale
50M–100M users</w:t>
            </w:r>
          </w:p>
        </w:tc>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20-node Spark cluster. Feature engineering in 3–4 hours. Bisecting K-Means production run in 2–3 hours. HDBSCAN only on 10% sample for discovery.</w:t>
            </w:r>
          </w:p>
        </w:tc>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Weekly clustering. Daily feature updates. HDBSCAN discovery monthly (expensive at this scale).</w:t>
            </w:r>
          </w:p>
        </w:tc>
        <w:tc>
          <w:tcPr>
            <w:tcW w:type="dxa" w:w="3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PySpark + Spark MLlib + BigQuery. Full Airflow DAG with validation gates.</w:t>
            </w:r>
          </w:p>
        </w:tc>
      </w:tr>
    </w:tbl>
    <w:p>
      <w:pPr>
        <w:spacing w:after="160"/>
      </w:pPr>
    </w:p>
    <w:p>
      <w:r>
        <w:br w:type="page"/>
      </w:r>
    </w:p>
    <w:p>
      <w:pPr>
        <w:pStyle w:val="Heading1"/>
        <w:pBdr>
          <w:bottom w:val="single" w:color="1B4F8A" w:sz="8" w:space="4"/>
        </w:pBdr>
        <w:spacing w:after="200" w:before="400"/>
      </w:pPr>
      <w:r>
        <w:rPr>
          <w:rFonts w:ascii="Arial" w:cs="Arial" w:eastAsia="Arial" w:hAnsi="Arial"/>
          <w:b/>
          <w:bCs/>
          <w:color w:val="0F2E52"/>
          <w:sz w:val="40"/>
          <w:szCs w:val="40"/>
        </w:rPr>
        <w:t xml:space="preserve">6. Deployment Expectations</w:t>
      </w:r>
    </w:p>
    <w:p>
      <w:pPr>
        <w:pStyle w:val="Heading2"/>
        <w:spacing w:after="160" w:before="300"/>
      </w:pPr>
      <w:r>
        <w:rPr>
          <w:rFonts w:ascii="Arial" w:cs="Arial" w:eastAsia="Arial" w:hAnsi="Arial"/>
          <w:b/>
          <w:bCs/>
          <w:color w:val="1B4F8A"/>
          <w:sz w:val="30"/>
          <w:szCs w:val="30"/>
        </w:rPr>
        <w:t xml:space="preserve">6.1  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Component</w:t>
            </w:r>
          </w:p>
        </w:tc>
        <w:tc>
          <w:tcPr>
            <w:tcW w:type="dxa" w:w="67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20"/>
                <w:szCs w:val="20"/>
              </w:rPr>
              <w:t xml:space="preserve">Data Warehouse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Google BigQuery (preferred) or Amazon Redshift. GA4 BigQuery export is native for Google stack. All feature store tables stored here.</w:t>
            </w:r>
          </w:p>
        </w:tc>
      </w:tr>
      <w:tr>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20"/>
                <w:szCs w:val="20"/>
              </w:rPr>
              <w:t xml:space="preserve">Feature Engineering</w:t>
            </w:r>
          </w:p>
        </w:tc>
        <w:tc>
          <w:tcPr>
            <w:tcW w:type="dxa" w:w="6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PySpark for large publishers (&gt; 5M users). Pandas + Dask for small/mid. Runs weekly as Step 3 in Airflow DAG.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20"/>
                <w:szCs w:val="20"/>
              </w:rPr>
              <w:t xml:space="preserve">Algorithm Evaluation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Scikit-learn: BisectingKMeans, GaussianMixture, silhouette_score, davies_bouldin_score. hdbscan library for discovery phase. Spark MLlib for K-Means at &gt; 10M users.</w:t>
            </w:r>
          </w:p>
        </w:tc>
      </w:tr>
      <w:tr>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20"/>
                <w:szCs w:val="20"/>
              </w:rPr>
              <w:t xml:space="preserve">Model Registry</w:t>
            </w:r>
          </w:p>
        </w:tc>
        <w:tc>
          <w:tcPr>
            <w:tcW w:type="dxa" w:w="6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MLflow: tracks every run — algorithm used, K selected, silhouette score, persona distribution, feature importance, scaler object. Enables full rollback.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20"/>
                <w:szCs w:val="20"/>
              </w:rPr>
              <w:t xml:space="preserve">Orchestration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Apache Airflow DAG (weekly trigger). 8 sequential steps with validation gates. MWAA (AWS) or Cloud Composer (GCP) for managed deployment.</w:t>
            </w:r>
          </w:p>
        </w:tc>
      </w:tr>
      <w:tr>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20"/>
                <w:szCs w:val="20"/>
              </w:rPr>
              <w:t xml:space="preserve">Persona Serving API</w:t>
            </w:r>
          </w:p>
        </w:tc>
        <w:tc>
          <w:tcPr>
            <w:tcW w:type="dxa" w:w="6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FastAPI microservice: GET /persona/{user_id} returns persona_label, cluster_id, 3 propensity scores, soft_scores (GMM). Reads from Redis cache. &lt; 10ms p99.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20"/>
                <w:szCs w:val="20"/>
              </w:rPr>
              <w:t xml:space="preserve">Cache Layer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Redis: stores persona_label + propensity scores per user. TTL = 7 days, refreshed by weekly pipeline. Sub-millisecond reads for ad server and CMS integrations.</w:t>
            </w:r>
          </w:p>
        </w:tc>
      </w:tr>
      <w:tr>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20"/>
                <w:szCs w:val="20"/>
              </w:rPr>
              <w:t xml:space="preserve">Monitoring</w:t>
            </w:r>
          </w:p>
        </w:tc>
        <w:tc>
          <w:tcPr>
            <w:tcW w:type="dxa" w:w="6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Grafana dashboard: pipeline runtime, silhouette score trend, persona stability, feature coverage, business KPIs. PagerDuty alerts on critical metric drops.</w:t>
            </w:r>
          </w:p>
        </w:tc>
      </w:tr>
    </w:tbl>
    <w:p>
      <w:pPr>
        <w:spacing w:after="160"/>
      </w:pPr>
    </w:p>
    <w:p>
      <w:pPr>
        <w:pStyle w:val="Heading2"/>
        <w:spacing w:after="160" w:before="300"/>
      </w:pPr>
      <w:r>
        <w:rPr>
          <w:rFonts w:ascii="Arial" w:cs="Arial" w:eastAsia="Arial" w:hAnsi="Arial"/>
          <w:b/>
          <w:bCs/>
          <w:color w:val="1B4F8A"/>
          <w:sz w:val="30"/>
          <w:szCs w:val="30"/>
        </w:rPr>
        <w:t xml:space="preserve">6.2  Airflow DAG — 9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460"/>
        <w:gridCol w:w="2000"/>
      </w:tblGrid>
      <w:tr>
        <w:trPr>
          <w:tblHeader/>
        </w:trPr>
        <w:tc>
          <w:tcPr>
            <w:tcW w:type="dxa" w:w="19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Step</w:t>
            </w:r>
          </w:p>
        </w:tc>
        <w:tc>
          <w:tcPr>
            <w:tcW w:type="dxa" w:w="54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Description</w:t>
            </w:r>
          </w:p>
        </w:tc>
        <w:tc>
          <w:tcPr>
            <w:tcW w:type="dxa" w:w="20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Trigger / Notes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Step 1: Source Ingestion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Pull delta data from all 8 sources. Validate row counts and schema against expected ranges. Fail pipeline if any source deviates &gt; 20% from prior week.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Daily or weekly trigger depending on source</w:t>
            </w:r>
          </w:p>
        </w:tc>
      </w:tr>
      <w:tr>
        <w:tc>
          <w:tcPr>
            <w:tcW w:type="dxa" w:w="19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Step 2: Identity Stitching</w:t>
            </w:r>
          </w:p>
        </w:tc>
        <w:tc>
          <w:tcPr>
            <w:tcW w:type="dxa" w:w="54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Resolve all source IDs to user_id via bridge table (GA4), email match (Sailthru), and hashed email match (Transunion). Log unresolved rates.</w:t>
            </w:r>
          </w:p>
        </w:tc>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Runs after Step 1</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Step 3: Feature Engineering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Aggregate GA4 events to user level. Compute ratio_*, bounce_rate, avg_session_duration, mobile_ratio. Join all sources on user_id. Fill nulls with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Runs after Step 2</w:t>
            </w:r>
          </w:p>
        </w:tc>
      </w:tr>
      <w:tr>
        <w:tc>
          <w:tcPr>
            <w:tcW w:type="dxa" w:w="19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Step 4: Feature Validation</w:t>
            </w:r>
          </w:p>
        </w:tc>
        <w:tc>
          <w:tcPr>
            <w:tcW w:type="dxa" w:w="54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Check feature distributions for drift vs prior week. Flag if &gt; 20% mean shift on any feature. Abort if &gt; 3 features drift simultaneously — data quality issue.</w:t>
            </w:r>
          </w:p>
        </w:tc>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Runs after Step 3. Gate before Step 5.</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Step 5: StandardScaler Fit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Fit StandardScaler on ML feature matrix. Save scaler to MLflow. Apply log1p transformation to heavily skewed features (total_pageviews, total_affiliate_clicks).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Runs after Step 4</w:t>
            </w:r>
          </w:p>
        </w:tc>
      </w:tr>
      <w:tr>
        <w:tc>
          <w:tcPr>
            <w:tcW w:type="dxa" w:w="19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Step 6: Algorithm Evaluation</w:t>
            </w:r>
          </w:p>
        </w:tc>
        <w:tc>
          <w:tcPr>
            <w:tcW w:type="dxa" w:w="54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NEW STEP vs NYPost: Run Bisecting K-Means, GMM, and silhouette scoring across K=5 to K=15. Select best algorithm+K by composite score. If same algorithm+K as prior week, skip to Step 7.</w:t>
            </w:r>
          </w:p>
        </w:tc>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Weekly. May be skipped if no significant data change detected.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Step 7: Production Clustering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Run selected algorithm at chosen K on full scaled feature matrix. Compute silhouette score and per-cluster stats. If silhouette &lt; 0.30, alert team and use prior week's assignments.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Core clustering step. Fails safe to prior week.</w:t>
            </w:r>
          </w:p>
        </w:tc>
      </w:tr>
      <w:tr>
        <w:tc>
          <w:tcPr>
            <w:tcW w:type="dxa" w:w="19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Step 8: Write-Back</w:t>
            </w:r>
          </w:p>
        </w:tc>
        <w:tc>
          <w:tcPr>
            <w:tcW w:type="dxa" w:w="54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Write persona_label, cluster_id, algorithm_used, cluster_score, last_updated to feature_store. Log persona distribution to MLflow for trend tracking.</w:t>
            </w:r>
          </w:p>
        </w:tc>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Runs after Step 7</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Step 9: Cache Refresh + Notify</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Push updated records to Redis. Notify downstream systems (Sailthru, ad server, CMS) via webhook that persona refresh is complete.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Final step. Triggers downstream activation.</w:t>
            </w:r>
          </w:p>
        </w:tc>
      </w:tr>
    </w:tbl>
    <w:p>
      <w:pPr>
        <w:spacing w:after="160"/>
      </w:pPr>
    </w:p>
    <w:p>
      <w:r>
        <w:br w:type="page"/>
      </w:r>
    </w:p>
    <w:p>
      <w:pPr>
        <w:pStyle w:val="Heading1"/>
        <w:pBdr>
          <w:bottom w:val="single" w:color="1B4F8A" w:sz="8" w:space="4"/>
        </w:pBdr>
        <w:spacing w:after="200" w:before="400"/>
      </w:pPr>
      <w:r>
        <w:rPr>
          <w:rFonts w:ascii="Arial" w:cs="Arial" w:eastAsia="Arial" w:hAnsi="Arial"/>
          <w:b/>
          <w:bCs/>
          <w:color w:val="0F2E52"/>
          <w:sz w:val="40"/>
          <w:szCs w:val="40"/>
        </w:rPr>
        <w:t xml:space="preserve">7. Batch vs Real-Time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
              <w:bottom w:val="single" w:color="6C3483" w:sz="1"/>
              <w:right w:val="single" w:color="6C3483" w:sz="1"/>
            </w:tcBorders>
            <w:shd w:fill="F5EEF8" w:val="clear"/>
            <w:tcMar>
              <w:top w:type="dxa" w:w="140"/>
              <w:left w:type="dxa" w:w="200"/>
              <w:bottom w:type="dxa" w:w="140"/>
              <w:right w:type="dxa" w:w="200"/>
            </w:tcMar>
          </w:tcPr>
          <w:p>
            <w:pPr>
              <w:spacing w:after="60"/>
            </w:pPr>
            <w:r>
              <w:rPr>
                <w:rFonts w:ascii="Arial" w:cs="Arial" w:eastAsia="Arial" w:hAnsi="Arial"/>
                <w:b/>
                <w:bCs/>
                <w:color w:val="0F2E52"/>
                <w:sz w:val="22"/>
                <w:szCs w:val="22"/>
              </w:rPr>
              <w:t xml:space="preserve">Architecture Decision</w:t>
            </w:r>
          </w:p>
          <w:p>
            <w:pPr>
              <w:spacing w:after="0"/>
            </w:pPr>
            <w:r>
              <w:rPr>
                <w:rFonts w:ascii="Arial" w:cs="Arial" w:eastAsia="Arial" w:hAnsi="Arial"/>
                <w:color w:val="444455"/>
                <w:sz w:val="20"/>
                <w:szCs w:val="20"/>
              </w:rPr>
              <w:t xml:space="preserve">Clustering is BATCH (weekly). Persona serving is REAL-TIME (Redis cache, &lt; 10ms). There is no live ML model called at request time. This is a deliberate decision that balances accuracy, cost, and scalability.</w:t>
            </w:r>
          </w:p>
        </w:tc>
      </w:tr>
    </w:tbl>
    <w:p>
      <w:pPr>
        <w:spacing w:after="200"/>
      </w:pPr>
    </w:p>
    <w:p>
      <w:pPr>
        <w:pStyle w:val="Heading2"/>
        <w:spacing w:after="160" w:before="300"/>
      </w:pPr>
      <w:r>
        <w:rPr>
          <w:rFonts w:ascii="Arial" w:cs="Arial" w:eastAsia="Arial" w:hAnsi="Arial"/>
          <w:b/>
          <w:bCs/>
          <w:color w:val="1B4F8A"/>
          <w:sz w:val="30"/>
          <w:szCs w:val="30"/>
        </w:rPr>
        <w:t xml:space="preserve">7.1  Why Batch for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Reason</w:t>
            </w:r>
          </w:p>
        </w:tc>
        <w:tc>
          <w:tcPr>
            <w:tcW w:type="dxa" w:w="67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Explanation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20"/>
                <w:szCs w:val="20"/>
              </w:rPr>
              <w:t xml:space="preserve">Requires full dataset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K-Means and GMM compute centroids / covariances across all users simultaneously. Single-user real-time clustering is mathematically meaningless.</w:t>
            </w:r>
          </w:p>
        </w:tc>
      </w:tr>
      <w:tr>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20"/>
                <w:szCs w:val="20"/>
              </w:rPr>
              <w:t xml:space="preserve">Behaviour accumulates slowly</w:t>
            </w:r>
          </w:p>
        </w:tc>
        <w:tc>
          <w:tcPr>
            <w:tcW w:type="dxa" w:w="6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Content affinity ratios stabilise only after 10+ sessions. Real-time updates on every page view add noise, not signal.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20"/>
                <w:szCs w:val="20"/>
              </w:rPr>
              <w:t xml:space="preserve">Business cadence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Newsletters go out weekly. Ad campaigns planned weekly. Upsell sequences run 30–90 days. Weekly persona refresh is sufficient.</w:t>
            </w:r>
          </w:p>
        </w:tc>
      </w:tr>
      <w:tr>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20"/>
                <w:szCs w:val="20"/>
              </w:rPr>
              <w:t xml:space="preserve">Algorithm evaluation</w:t>
            </w:r>
          </w:p>
        </w:tc>
        <w:tc>
          <w:tcPr>
            <w:tcW w:type="dxa" w:w="6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Running HDBSCAN + K-Means + GMM evaluation on 66M users takes 4–8 hours. This can only be batch.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20"/>
                <w:szCs w:val="20"/>
              </w:rPr>
              <w:t xml:space="preserve">Cost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Weekly Spark clustering at scale costs $200–400/run. Daily = 7x cost with minimal accuracy improvement.</w:t>
            </w:r>
          </w:p>
        </w:tc>
      </w:tr>
    </w:tbl>
    <w:p>
      <w:pPr>
        <w:spacing w:after="160"/>
      </w:pPr>
    </w:p>
    <w:p>
      <w:pPr>
        <w:pStyle w:val="Heading2"/>
        <w:spacing w:after="160" w:before="300"/>
      </w:pPr>
      <w:r>
        <w:rPr>
          <w:rFonts w:ascii="Arial" w:cs="Arial" w:eastAsia="Arial" w:hAnsi="Arial"/>
          <w:b/>
          <w:bCs/>
          <w:color w:val="1B4F8A"/>
          <w:sz w:val="30"/>
          <w:szCs w:val="30"/>
        </w:rPr>
        <w:t xml:space="preserve">7.2  What IS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0E6655" w:sz="1"/>
              <w:left w:val="single" w:color="0E6655" w:sz="1"/>
              <w:bottom w:val="single" w:color="0E6655" w:sz="1"/>
              <w:right w:val="single" w:color="0E6655" w:sz="1"/>
            </w:tcBorders>
            <w:shd w:fill="0E6655"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Process</w:t>
            </w:r>
          </w:p>
        </w:tc>
        <w:tc>
          <w:tcPr>
            <w:tcW w:type="dxa" w:w="4000"/>
            <w:tcBorders>
              <w:top w:val="single" w:color="0E6655" w:sz="1"/>
              <w:left w:val="single" w:color="0E6655" w:sz="1"/>
              <w:bottom w:val="single" w:color="0E6655" w:sz="1"/>
              <w:right w:val="single" w:color="0E6655" w:sz="1"/>
            </w:tcBorders>
            <w:shd w:fill="0E6655"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Use Case</w:t>
            </w:r>
          </w:p>
        </w:tc>
        <w:tc>
          <w:tcPr>
            <w:tcW w:type="dxa" w:w="3160"/>
            <w:tcBorders>
              <w:top w:val="single" w:color="0E6655" w:sz="1"/>
              <w:left w:val="single" w:color="0E6655" w:sz="1"/>
              <w:bottom w:val="single" w:color="0E6655" w:sz="1"/>
              <w:right w:val="single" w:color="0E6655" w:sz="1"/>
            </w:tcBorders>
            <w:shd w:fill="0E6655"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Latency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Persona serving API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GET /persona/{user_id} called by newsletter, ad server, CMS at request time.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&lt; 10ms from Redis cache. SLA: 99.9% uptime.</w:t>
            </w:r>
          </w:p>
        </w:tc>
      </w:tr>
      <w:tr>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Homepage personalisation</w:t>
            </w:r>
          </w:p>
        </w:tc>
        <w:tc>
          <w:tcPr>
            <w:tcW w:type="dxa" w:w="4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CMS calls persona API on page load to reorder content modules per persona.</w:t>
            </w:r>
          </w:p>
        </w:tc>
        <w:tc>
          <w:tcPr>
            <w:tcW w:type="dxa" w:w="3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&lt; 20ms. Served from Redis.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Ad targeting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Ad server retrieves persona_label per user on each ad impression request.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&lt; 10ms. Sub-millisecond for pre-fetched sessions.</w:t>
            </w:r>
          </w:p>
        </w:tc>
      </w:tr>
      <w:tr>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Subscription upsell</w:t>
            </w:r>
          </w:p>
        </w:tc>
        <w:tc>
          <w:tcPr>
            <w:tcW w:type="dxa" w:w="4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subscription_propensity_score retrieved on login / checkout to trigger upsell banner.</w:t>
            </w:r>
          </w:p>
        </w:tc>
        <w:tc>
          <w:tcPr>
            <w:tcW w:type="dxa" w:w="3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&lt; 10ms. Served from Redis.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New user cold-start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Rule-based content serving for users with &lt; 5 sessions (no ML persona yet).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Instantaneous. CMS rule engine, no API call needed.</w:t>
            </w:r>
          </w:p>
        </w:tc>
      </w:tr>
    </w:tbl>
    <w:p>
      <w:pPr>
        <w:spacing w:after="160"/>
      </w:pPr>
    </w:p>
    <w:p>
      <w:pPr>
        <w:pStyle w:val="Heading2"/>
        <w:spacing w:after="160" w:before="300"/>
      </w:pPr>
      <w:r>
        <w:rPr>
          <w:rFonts w:ascii="Arial" w:cs="Arial" w:eastAsia="Arial" w:hAnsi="Arial"/>
          <w:b/>
          <w:bCs/>
          <w:color w:val="1B4F8A"/>
          <w:sz w:val="30"/>
          <w:szCs w:val="30"/>
        </w:rPr>
        <w:t xml:space="preserve">7.3  New User Cold-Start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200"/>
        <w:gridCol w:w="2660"/>
      </w:tblGrid>
      <w:tr>
        <w:trPr>
          <w:tblHeader/>
        </w:trPr>
        <w:tc>
          <w:tcPr>
            <w:tcW w:type="dxa" w:w="15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Sessions</w:t>
            </w:r>
          </w:p>
        </w:tc>
        <w:tc>
          <w:tcPr>
            <w:tcW w:type="dxa" w:w="20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Strategy</w:t>
            </w:r>
          </w:p>
        </w:tc>
        <w:tc>
          <w:tcPr>
            <w:tcW w:type="dxa" w:w="32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Experience</w:t>
            </w:r>
          </w:p>
        </w:tc>
        <w:tc>
          <w:tcPr>
            <w:tcW w:type="dxa" w:w="26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Mechanism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0–1 sessions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new_user persona assigned immediately on registration.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Serve default homepage. No personalisation.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Zephr registration event</w:t>
            </w:r>
          </w:p>
        </w:tc>
      </w:tr>
      <w:tr>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2–4 sessions</w:t>
            </w:r>
          </w:p>
        </w:tc>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Rule-based mini-segmentation: if &gt; 50% sports views → sports_cold_start. if &gt; 50% celebrity views → celebrity_cold_start.</w:t>
            </w:r>
          </w:p>
        </w:tc>
        <w:tc>
          <w:tcPr>
            <w:tcW w:type="dxa" w:w="3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Serve content matching dominant category. Still rule-based.</w:t>
            </w:r>
          </w:p>
        </w:tc>
        <w:tc>
          <w:tcPr>
            <w:tcW w:type="dxa" w:w="26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CMS rules engine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5–9 sessions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User included in next weekly batch run. Gets first ML-assigned persona within 3–10 days of registration.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Full ML persona. All propensity scores computed.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Weekly Airflow DAG</w:t>
            </w:r>
          </w:p>
        </w:tc>
      </w:tr>
      <w:tr>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10+ sessions</w:t>
            </w:r>
          </w:p>
        </w:tc>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Stable ML persona. Propensity scores reliable. Include in all activation campaigns.</w:t>
            </w:r>
          </w:p>
        </w:tc>
        <w:tc>
          <w:tcPr>
            <w:tcW w:type="dxa" w:w="3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Full personalisation across newsletter, ads, homepage, upsell.</w:t>
            </w:r>
          </w:p>
        </w:tc>
        <w:tc>
          <w:tcPr>
            <w:tcW w:type="dxa" w:w="26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All activation channels</w:t>
            </w:r>
          </w:p>
        </w:tc>
      </w:tr>
    </w:tbl>
    <w:p>
      <w:pPr>
        <w:spacing w:after="160"/>
      </w:pPr>
    </w:p>
    <w:p>
      <w:r>
        <w:br w:type="page"/>
      </w:r>
    </w:p>
    <w:p>
      <w:pPr>
        <w:pStyle w:val="Heading1"/>
        <w:pBdr>
          <w:bottom w:val="single" w:color="1B4F8A" w:sz="8" w:space="4"/>
        </w:pBdr>
        <w:spacing w:after="200" w:before="400"/>
      </w:pPr>
      <w:r>
        <w:rPr>
          <w:rFonts w:ascii="Arial" w:cs="Arial" w:eastAsia="Arial" w:hAnsi="Arial"/>
          <w:b/>
          <w:bCs/>
          <w:color w:val="0F2E52"/>
          <w:sz w:val="40"/>
          <w:szCs w:val="40"/>
        </w:rPr>
        <w:t xml:space="preserve">8. Expected Users of the System</w:t>
      </w:r>
    </w:p>
    <w:p>
      <w:pPr>
        <w:pStyle w:val="Heading2"/>
        <w:spacing w:after="160" w:before="300"/>
      </w:pPr>
      <w:r>
        <w:rPr>
          <w:rFonts w:ascii="Arial" w:cs="Arial" w:eastAsia="Arial" w:hAnsi="Arial"/>
          <w:b/>
          <w:bCs/>
          <w:color w:val="1B4F8A"/>
          <w:sz w:val="30"/>
          <w:szCs w:val="30"/>
        </w:rPr>
        <w:t xml:space="preserve">8.1  Technical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rPr>
          <w:tblHeader/>
        </w:trPr>
        <w:tc>
          <w:tcPr>
            <w:tcW w:type="dxa" w:w="20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Role</w:t>
            </w:r>
          </w:p>
        </w:tc>
        <w:tc>
          <w:tcPr>
            <w:tcW w:type="dxa" w:w="28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Responsibilities</w:t>
            </w:r>
          </w:p>
        </w:tc>
        <w:tc>
          <w:tcPr>
            <w:tcW w:type="dxa" w:w="20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Frequency</w:t>
            </w:r>
          </w:p>
        </w:tc>
        <w:tc>
          <w:tcPr>
            <w:tcW w:type="dxa" w:w="25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Tools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Data Engineers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Build and maintain Airflow DAGs, source connectors, feature engineering pipeline. Own pipeline reliability, data quality monitoring, and source system integrations. Set up GA4 BigQuery export, Sailthru API, Transunion batch job.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Daily — pipeline alerts, data quality checks, integration maintenance.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Python, Spark/Dask, Airflow, BigQuery, dbt</w:t>
            </w:r>
          </w:p>
        </w:tc>
      </w:tr>
      <w:tr>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Data Scientists / ML Engineers</w:t>
            </w:r>
          </w:p>
        </w:tc>
        <w:tc>
          <w:tcPr>
            <w:tcW w:type="dxa" w:w="2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Own the clustering model and algorithm evaluation framework. Tune K, evaluate silhouette scores, run HDBSCAN discovery, name personas. Own MLflow model registry and retraining triggers. Add new features to improve cluster quality.</w:t>
            </w:r>
          </w:p>
        </w:tc>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Weekly — review clustering outputs, evaluate model drift, run experiments.</w:t>
            </w:r>
          </w:p>
        </w:tc>
        <w:tc>
          <w:tcPr>
            <w:tcW w:type="dxa" w:w="25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Python, scikit-learn, hdbscan, MLflow, Spark MLlib, Jupyter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Backend / API Engineers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Build and maintain FastAPI persona serving microservice, Redis cache, and downstream integration webhooks (Sailthru, ad server, CMS). Ensure &lt; 10ms SLA. Build algorithm_used and soft_scores fields into API response.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Sprint-based — integrations, API uptime, cache management.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FastAPI, Redis, Docker, Kubernetes</w:t>
            </w:r>
          </w:p>
        </w:tc>
      </w:tr>
      <w:tr>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Analytics / BI Engineers</w:t>
            </w:r>
          </w:p>
        </w:tc>
        <w:tc>
          <w:tcPr>
            <w:tcW w:type="dxa" w:w="2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Build Grafana dashboards for cluster stability, persona distribution, and business KPIs. Build self-serve reporting for business stakeholders. Own A/B test measurement for segmented vs control campaigns.</w:t>
            </w:r>
          </w:p>
        </w:tc>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Weekly — dashboards, ad-hoc analyses, campaign lift measurement.</w:t>
            </w:r>
          </w:p>
        </w:tc>
        <w:tc>
          <w:tcPr>
            <w:tcW w:type="dxa" w:w="25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SQL, Grafana, Looker/Tableau, Python</w:t>
            </w:r>
          </w:p>
        </w:tc>
      </w:tr>
    </w:tbl>
    <w:p>
      <w:pPr>
        <w:spacing w:after="160"/>
      </w:pPr>
    </w:p>
    <w:p>
      <w:pPr>
        <w:pStyle w:val="Heading2"/>
        <w:spacing w:after="160" w:before="300"/>
      </w:pPr>
      <w:r>
        <w:rPr>
          <w:rFonts w:ascii="Arial" w:cs="Arial" w:eastAsia="Arial" w:hAnsi="Arial"/>
          <w:b/>
          <w:bCs/>
          <w:color w:val="1B4F8A"/>
          <w:sz w:val="30"/>
          <w:szCs w:val="30"/>
        </w:rPr>
        <w:t xml:space="preserve">8.2  Business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rPr>
          <w:tblHeader/>
        </w:trPr>
        <w:tc>
          <w:tcPr>
            <w:tcW w:type="dxa" w:w="2000"/>
            <w:tcBorders>
              <w:top w:val="single" w:color="0E6655" w:sz="1"/>
              <w:left w:val="single" w:color="0E6655" w:sz="1"/>
              <w:bottom w:val="single" w:color="0E6655" w:sz="1"/>
              <w:right w:val="single" w:color="0E6655" w:sz="1"/>
            </w:tcBorders>
            <w:shd w:fill="0E6655"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Role</w:t>
            </w:r>
          </w:p>
        </w:tc>
        <w:tc>
          <w:tcPr>
            <w:tcW w:type="dxa" w:w="2800"/>
            <w:tcBorders>
              <w:top w:val="single" w:color="0E6655" w:sz="1"/>
              <w:left w:val="single" w:color="0E6655" w:sz="1"/>
              <w:bottom w:val="single" w:color="0E6655" w:sz="1"/>
              <w:right w:val="single" w:color="0E6655" w:sz="1"/>
            </w:tcBorders>
            <w:shd w:fill="0E6655"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Responsibilities</w:t>
            </w:r>
          </w:p>
        </w:tc>
        <w:tc>
          <w:tcPr>
            <w:tcW w:type="dxa" w:w="2000"/>
            <w:tcBorders>
              <w:top w:val="single" w:color="0E6655" w:sz="1"/>
              <w:left w:val="single" w:color="0E6655" w:sz="1"/>
              <w:bottom w:val="single" w:color="0E6655" w:sz="1"/>
              <w:right w:val="single" w:color="0E6655" w:sz="1"/>
            </w:tcBorders>
            <w:shd w:fill="0E6655"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Frequency</w:t>
            </w:r>
          </w:p>
        </w:tc>
        <w:tc>
          <w:tcPr>
            <w:tcW w:type="dxa" w:w="2560"/>
            <w:tcBorders>
              <w:top w:val="single" w:color="0E6655" w:sz="1"/>
              <w:left w:val="single" w:color="0E6655" w:sz="1"/>
              <w:bottom w:val="single" w:color="0E6655" w:sz="1"/>
              <w:right w:val="single" w:color="0E6655" w:sz="1"/>
            </w:tcBorders>
            <w:shd w:fill="0E6655"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Tools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Newsletter / Email Team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Use persona labels to segment Sailthru send lists. Configure which content template each persona receives. Review CTR reports. Request persona-specific newsletter products.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Daily — send scheduling, performance review, list segmentation.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Sailthru UI, reporting dashboard</w:t>
            </w:r>
          </w:p>
        </w:tc>
      </w:tr>
      <w:tr>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Advertising / Revenue Team</w:t>
            </w:r>
          </w:p>
        </w:tc>
        <w:tc>
          <w:tcPr>
            <w:tcW w:type="dxa" w:w="2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Package persona segments as premium audience inventory. Sports Focused = sports brand CPM premium. High Value Shoppers = retail premium. Build media kit with persona reach statistics.</w:t>
            </w:r>
          </w:p>
        </w:tc>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Weekly — campaign planning, advertiser reporting, rate card management.</w:t>
            </w:r>
          </w:p>
        </w:tc>
        <w:tc>
          <w:tcPr>
            <w:tcW w:type="dxa" w:w="25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Ad server UI (GAM/Xandr), internal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Subscription / Growth Team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Use subscription_propensity_score to trigger upsell banners and email sequences. Monitor conversion rate by persona. Design win-back flows for cancelled Subscription-Focused 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Weekly — campaign setup, conversion funnel review, churn analysis.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Zephr UI, Braintree dashboard, email platform</w:t>
            </w:r>
          </w:p>
        </w:tc>
      </w:tr>
      <w:tr>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Editorial / Content Team</w:t>
            </w:r>
          </w:p>
        </w:tc>
        <w:tc>
          <w:tcPr>
            <w:tcW w:type="dxa" w:w="2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Use content affinity ratios to understand what drives which segments. Inform commissioning — Sports Focused is 6.6M users, justifying investment in sports coverage. Configure homepage personalisation rules.</w:t>
            </w:r>
          </w:p>
        </w:tc>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Monthly — content strategy reviews, persona briefings.</w:t>
            </w:r>
          </w:p>
        </w:tc>
        <w:tc>
          <w:tcPr>
            <w:tcW w:type="dxa" w:w="25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CMS, analytics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Product Managers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Own platform roadmap. Prioritise new data sources, new personas, new activation channels. Define new KPIs. Liaise between technical and business teams.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Weekly — roadmap, stakeholder alignment, KPI reviews.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JIRA, Confluence, dashboard</w:t>
            </w:r>
          </w:p>
        </w:tc>
      </w:tr>
    </w:tbl>
    <w:p>
      <w:pPr>
        <w:spacing w:after="160"/>
      </w:pPr>
    </w:p>
    <w:p>
      <w:pPr>
        <w:pStyle w:val="Heading2"/>
        <w:spacing w:after="160" w:before="300"/>
      </w:pPr>
      <w:r>
        <w:rPr>
          <w:rFonts w:ascii="Arial" w:cs="Arial" w:eastAsia="Arial" w:hAnsi="Arial"/>
          <w:b/>
          <w:bCs/>
          <w:color w:val="1B4F8A"/>
          <w:sz w:val="30"/>
          <w:szCs w:val="30"/>
        </w:rPr>
        <w:t xml:space="preserve">8.3  End Users (Readers)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Type</w:t>
            </w:r>
          </w:p>
        </w:tc>
        <w:tc>
          <w:tcPr>
            <w:tcW w:type="dxa" w:w="42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Experience</w:t>
            </w:r>
          </w:p>
        </w:tc>
        <w:tc>
          <w:tcPr>
            <w:tcW w:type="dxa" w:w="29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Scale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Registered readers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Receive personalised newsletters, reordered homepage, calibrated subscription offers. Never interact with platform directly — experience the output.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66M at NYPost scale. 500K–100M depending on publisher.</w:t>
            </w:r>
          </w:p>
        </w:tc>
      </w:tr>
      <w:tr>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Anonymous visitors</w:t>
            </w:r>
          </w:p>
        </w:tc>
        <w:tc>
          <w:tcPr>
            <w:tcW w:type="dxa" w:w="4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Cannot be clustered — no user_id. Receive default content and run-of-site ads. Registration incentive: personalisation only activates after sign-up.</w:t>
            </w:r>
          </w:p>
        </w:tc>
        <w:tc>
          <w:tcPr>
            <w:tcW w:type="dxa" w:w="29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Typically 40–60% of total traffic.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19"/>
                <w:szCs w:val="19"/>
              </w:rPr>
              <w:t xml:space="preserve">Advertiser clients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Purchase premium audience segments. Sports Focused, High Value Shoppers delivered via ad server targeting. No direct platform interaction.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19"/>
                <w:szCs w:val="19"/>
              </w:rPr>
              <w:t xml:space="preserve">100+ advertisers across sports, retail, lifestyle, finance.</w:t>
            </w:r>
          </w:p>
        </w:tc>
      </w:tr>
    </w:tbl>
    <w:p>
      <w:pPr>
        <w:spacing w:after="160"/>
      </w:pPr>
    </w:p>
    <w:p>
      <w:pPr>
        <w:pStyle w:val="Heading2"/>
        <w:spacing w:after="160" w:before="300"/>
      </w:pPr>
      <w:r>
        <w:rPr>
          <w:rFonts w:ascii="Arial" w:cs="Arial" w:eastAsia="Arial" w:hAnsi="Arial"/>
          <w:b/>
          <w:bCs/>
          <w:color w:val="1B4F8A"/>
          <w:sz w:val="30"/>
          <w:szCs w:val="30"/>
        </w:rPr>
        <w:t xml:space="preserve">8.4  Publishing Client Users (SaaS Deployment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
              <w:bottom w:val="single" w:color="6C3483" w:sz="1"/>
              <w:right w:val="single" w:color="6C3483" w:sz="1"/>
            </w:tcBorders>
            <w:shd w:fill="F5EEF8" w:val="clear"/>
            <w:tcMar>
              <w:top w:type="dxa" w:w="140"/>
              <w:left w:type="dxa" w:w="200"/>
              <w:bottom w:type="dxa" w:w="140"/>
              <w:right w:type="dxa" w:w="200"/>
            </w:tcMar>
          </w:tcPr>
          <w:p>
            <w:pPr>
              <w:spacing w:after="60"/>
            </w:pPr>
            <w:r>
              <w:rPr>
                <w:rFonts w:ascii="Arial" w:cs="Arial" w:eastAsia="Arial" w:hAnsi="Arial"/>
                <w:b/>
                <w:bCs/>
                <w:color w:val="0F2E52"/>
                <w:sz w:val="22"/>
                <w:szCs w:val="22"/>
              </w:rPr>
              <w:t xml:space="preserve">Selling to Other Publishers</w:t>
            </w:r>
          </w:p>
          <w:p>
            <w:pPr>
              <w:spacing w:after="0"/>
            </w:pPr>
            <w:r>
              <w:rPr>
                <w:rFonts w:ascii="Arial" w:cs="Arial" w:eastAsia="Arial" w:hAnsi="Arial"/>
                <w:color w:val="444455"/>
                <w:sz w:val="20"/>
                <w:szCs w:val="20"/>
              </w:rPr>
              <w:t xml:space="preserve">When deployed as a product to other publishing companies, each client gets an isolated deployment with their own data pipeline, feature store, and persona serving API. The algorithm evaluation framework runs fresh for each client — a sports vertical publisher may land at K=6 with K-Means while a general interest publisher lands at K=10 with GMM. The platform's admin dashboard shows each client's algorithm selection, silhouette scores, persona distribution, and business KPIs without exposing any other client's data.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Client Role</w:t>
            </w:r>
          </w:p>
        </w:tc>
        <w:tc>
          <w:tcPr>
            <w:tcW w:type="dxa" w:w="6760"/>
            <w:tcBorders>
              <w:top w:val="single" w:color="0F2E52" w:sz="1"/>
              <w:left w:val="single" w:color="0F2E52" w:sz="1"/>
              <w:bottom w:val="single" w:color="0F2E52" w:sz="1"/>
              <w:right w:val="single" w:color="0F2E52" w:sz="1"/>
            </w:tcBorders>
            <w:shd w:fill="0F2E52" w:val="clear"/>
            <w:tcMar>
              <w:top w:type="dxa" w:w="100"/>
              <w:left w:type="dxa" w:w="120"/>
              <w:bottom w:type="dxa" w:w="100"/>
              <w:right w:type="dxa" w:w="120"/>
            </w:tcMar>
            <w:vAlign w:val="top"/>
          </w:tcPr>
          <w:p>
            <w:pPr>
              <w:spacing w:after="0"/>
              <w:jc w:val="left"/>
            </w:pPr>
            <w:r>
              <w:rPr>
                <w:rFonts w:ascii="Arial" w:cs="Arial" w:eastAsia="Arial" w:hAnsi="Arial"/>
                <w:b/>
                <w:bCs/>
                <w:i w:val="false"/>
                <w:iCs w:val="false"/>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20"/>
                <w:szCs w:val="20"/>
              </w:rPr>
              <w:t xml:space="preserve">Client Data Team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Connects source systems, monitors pipeline health, reviews persona and algorithm quality each week.</w:t>
            </w:r>
          </w:p>
        </w:tc>
      </w:tr>
      <w:tr>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20"/>
                <w:szCs w:val="20"/>
              </w:rPr>
              <w:t xml:space="preserve">Client Business Team</w:t>
            </w:r>
          </w:p>
        </w:tc>
        <w:tc>
          <w:tcPr>
            <w:tcW w:type="dxa" w:w="6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Configures newsletter templates, ad targeting segments, and upsell flows per persona. Consumes persona API for campaigns.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20"/>
                <w:szCs w:val="20"/>
              </w:rPr>
              <w:t xml:space="preserve">Platform Support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Onboards new clients, handles integration issues, monitors cross-client infrastructure. Typically 1 data engineer + 1 ML engineer per 10 clients at launch.</w:t>
            </w:r>
          </w:p>
        </w:tc>
      </w:tr>
      <w:tr>
        <w:tc>
          <w:tcPr>
            <w:tcW w:type="dxa" w:w="2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F2E52"/>
                <w:sz w:val="20"/>
                <w:szCs w:val="20"/>
              </w:rPr>
              <w:t xml:space="preserve">Platform Product Team</w:t>
            </w:r>
          </w:p>
        </w:tc>
        <w:tc>
          <w:tcPr>
            <w:tcW w:type="dxa" w:w="6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444455"/>
                <w:sz w:val="20"/>
                <w:szCs w:val="20"/>
              </w:rPr>
              <w:t xml:space="preserve">Manages core product roadmap, shared algorithm evaluation framework improvements, and new feature additions that benefit all clients.</w:t>
            </w:r>
          </w:p>
        </w:tc>
      </w:tr>
    </w:tbl>
    <w:p>
      <w:pPr>
        <w:spacing w:after="240"/>
      </w:pPr>
    </w:p>
    <w:p>
      <w:pPr>
        <w:spacing w:after="0"/>
      </w:pPr>
      <w:r>
        <w:rPr>
          <w:rFonts w:ascii="Arial" w:cs="Arial" w:eastAsia="Arial" w:hAnsi="Arial"/>
          <w:i/>
          <w:iCs/>
          <w:color w:val="AAAAAA"/>
          <w:sz w:val="20"/>
          <w:szCs w:val="20"/>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40"/>
      <w:szCs w:val="40"/>
    </w:rPr>
  </w:style>
  <w:style w:type="paragraph" w:styleId="Heading2">
    <w:name w:val="Heading 2"/>
    <w:basedOn w:val="Normal"/>
    <w:next w:val="Normal"/>
    <w:qFormat/>
    <w:pPr>
      <w:spacing w:after="160" w:before="300"/>
      <w:outlineLvl w:val="1"/>
    </w:pPr>
    <w:rPr>
      <w:rFonts w:ascii="Arial" w:cs="Arial" w:eastAsia="Arial" w:hAnsi="Arial"/>
      <w:b/>
      <w:bCs/>
      <w:sz w:val="30"/>
      <w:szCs w:val="30"/>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2026-05-28T15:02:15.906Z</dcterms:created>
  <dcterms:modified xsi:type="dcterms:W3CDTF">2026-05-28T15:02:15.906Z</dcterms:modified>
</cp:coreProperties>
</file>

<file path=docProps/custom.xml><?xml version="1.0" encoding="utf-8"?>
<Properties xmlns="http://schemas.openxmlformats.org/officeDocument/2006/custom-properties" xmlns:vt="http://schemas.openxmlformats.org/officeDocument/2006/docPropsVTypes"/>
</file>