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8A58638" w14:textId="3D215DA9" w:rsidR="00C3176D" w:rsidRPr="00C3176D" w:rsidRDefault="00C3176D" w:rsidP="00C3176D">
      <w:pPr>
        <w:rPr>
          <w:b/>
          <w:bCs/>
        </w:rPr>
      </w:pPr>
      <w:r w:rsidRPr="00C3176D">
        <w:rPr>
          <w:b/>
          <w:bCs/>
        </w:rPr>
        <w:t>Task 1</w:t>
      </w:r>
      <w:r>
        <w:rPr>
          <w:b/>
          <w:bCs/>
        </w:rPr>
        <w:t xml:space="preserve">- </w:t>
      </w:r>
      <w:r w:rsidRPr="00C3176D">
        <w:rPr>
          <w:b/>
          <w:bCs/>
        </w:rPr>
        <w:t>Supply Chain Issues Review</w:t>
      </w:r>
    </w:p>
    <w:p w14:paraId="111AFD32" w14:textId="77777777" w:rsidR="00C3176D" w:rsidRPr="00C3176D" w:rsidRDefault="00C3176D" w:rsidP="00C3176D">
      <w:pPr>
        <w:rPr>
          <w:b/>
          <w:bCs/>
        </w:rPr>
      </w:pPr>
      <w:r w:rsidRPr="00C3176D">
        <w:rPr>
          <w:b/>
          <w:bCs/>
        </w:rPr>
        <w:t>Supply Chain Issues Review</w:t>
      </w:r>
    </w:p>
    <w:p w14:paraId="53701B63" w14:textId="77777777" w:rsidR="00C3176D" w:rsidRPr="00C3176D" w:rsidRDefault="00C3176D" w:rsidP="00C3176D">
      <w:pPr>
        <w:rPr>
          <w:b/>
          <w:bCs/>
        </w:rPr>
      </w:pPr>
      <w:r w:rsidRPr="00C3176D">
        <w:rPr>
          <w:b/>
          <w:bCs/>
        </w:rPr>
        <w:t>Introduction</w:t>
      </w:r>
    </w:p>
    <w:p w14:paraId="0ED795F6" w14:textId="77777777" w:rsidR="00C3176D" w:rsidRPr="00C3176D" w:rsidRDefault="00C3176D" w:rsidP="00C3176D">
      <w:r w:rsidRPr="00C3176D">
        <w:t xml:space="preserve">This report reviews critical supply chain disruptions affecting production operations and FDA compliance. Recent findings indicate significant risks associated with component quality, supplier reliability, and supply chain traceability. Immediate intervention is required to maintain regulatory compliance, prevent production interruptions, and protect product quality. </w:t>
      </w:r>
    </w:p>
    <w:p w14:paraId="7FA0AE8B" w14:textId="5606D5B1" w:rsidR="00C3176D" w:rsidRPr="00C3176D" w:rsidRDefault="00C3176D" w:rsidP="00C3176D"/>
    <w:p w14:paraId="525502D5" w14:textId="77777777" w:rsidR="00C3176D" w:rsidRPr="00C3176D" w:rsidRDefault="00C3176D" w:rsidP="00C3176D">
      <w:pPr>
        <w:rPr>
          <w:b/>
          <w:bCs/>
        </w:rPr>
      </w:pPr>
      <w:r w:rsidRPr="00C3176D">
        <w:rPr>
          <w:b/>
          <w:bCs/>
        </w:rPr>
        <w:t>Outline of the Business Problem</w:t>
      </w:r>
    </w:p>
    <w:p w14:paraId="225A746E" w14:textId="77777777" w:rsidR="00C3176D" w:rsidRPr="00C3176D" w:rsidRDefault="00C3176D" w:rsidP="00C3176D">
      <w:r w:rsidRPr="00C3176D">
        <w:t>The organization is currently facing three major supply chain challenges:</w:t>
      </w:r>
    </w:p>
    <w:p w14:paraId="03316BA4" w14:textId="77777777" w:rsidR="00C3176D" w:rsidRPr="00C3176D" w:rsidRDefault="00C3176D" w:rsidP="00C3176D">
      <w:pPr>
        <w:rPr>
          <w:b/>
          <w:bCs/>
        </w:rPr>
      </w:pPr>
      <w:r w:rsidRPr="00C3176D">
        <w:rPr>
          <w:b/>
          <w:bCs/>
        </w:rPr>
        <w:t>1. BIND567 Quality Instability</w:t>
      </w:r>
    </w:p>
    <w:p w14:paraId="19FB3797" w14:textId="77777777" w:rsidR="00C3176D" w:rsidRPr="00C3176D" w:rsidRDefault="00C3176D" w:rsidP="00C3176D">
      <w:r w:rsidRPr="00C3176D">
        <w:t xml:space="preserve">BIND567 has experienced multiple quality control failures due to inconsistencies in molecular composition. These defects are causing manufacturing instability, increased rejection rates, and delays in production schedules. The issue presents a substantial risk to product efficacy and FDA compliance requirements. </w:t>
      </w:r>
    </w:p>
    <w:p w14:paraId="55905A7F" w14:textId="77777777" w:rsidR="00C3176D" w:rsidRPr="00C3176D" w:rsidRDefault="00C3176D" w:rsidP="00C3176D">
      <w:pPr>
        <w:rPr>
          <w:b/>
          <w:bCs/>
        </w:rPr>
      </w:pPr>
      <w:r w:rsidRPr="00C3176D">
        <w:rPr>
          <w:b/>
          <w:bCs/>
        </w:rPr>
        <w:t>2. COMP042 Traceability Deficiencies</w:t>
      </w:r>
    </w:p>
    <w:p w14:paraId="1DECA549" w14:textId="77777777" w:rsidR="00C3176D" w:rsidRPr="00C3176D" w:rsidRDefault="00C3176D" w:rsidP="00C3176D">
      <w:r w:rsidRPr="00C3176D">
        <w:t xml:space="preserve">COMP042 shipments have experienced recurring delays, incorrect lot identification, and inadequate documentation. The inability to verify component origin and handling procedures creates significant compliance risks and raises concerns regarding contamination and regulatory violations. </w:t>
      </w:r>
    </w:p>
    <w:p w14:paraId="1A8DB19F" w14:textId="77777777" w:rsidR="00C3176D" w:rsidRPr="00C3176D" w:rsidRDefault="00C3176D" w:rsidP="00C3176D">
      <w:pPr>
        <w:rPr>
          <w:b/>
          <w:bCs/>
        </w:rPr>
      </w:pPr>
      <w:r w:rsidRPr="00C3176D">
        <w:rPr>
          <w:b/>
          <w:bCs/>
        </w:rPr>
        <w:t>3. COMP043 Supplier Compliance Failures</w:t>
      </w:r>
    </w:p>
    <w:p w14:paraId="48E3DAE8" w14:textId="77777777" w:rsidR="00C3176D" w:rsidRPr="00C3176D" w:rsidRDefault="00C3176D" w:rsidP="00C3176D">
      <w:r w:rsidRPr="00C3176D">
        <w:t xml:space="preserve">The supplier responsible for COMP043 has demonstrated inconsistent adherence to GMP standards. Product purity concerns, unreliable delivery schedules, and frequent stockouts have disrupted production planning and increased regulatory exposure. </w:t>
      </w:r>
    </w:p>
    <w:p w14:paraId="6851CE52" w14:textId="548D912A" w:rsidR="00C3176D" w:rsidRPr="00C3176D" w:rsidRDefault="00C3176D" w:rsidP="00C3176D"/>
    <w:p w14:paraId="25650A0A" w14:textId="77777777" w:rsidR="00C3176D" w:rsidRPr="00C3176D" w:rsidRDefault="00C3176D" w:rsidP="00C3176D">
      <w:pPr>
        <w:rPr>
          <w:b/>
          <w:bCs/>
        </w:rPr>
      </w:pPr>
      <w:r w:rsidRPr="00C3176D">
        <w:rPr>
          <w:b/>
          <w:bCs/>
        </w:rPr>
        <w:t>Action Items</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919"/>
        <w:gridCol w:w="5696"/>
        <w:gridCol w:w="2735"/>
      </w:tblGrid>
      <w:tr w:rsidR="00C3176D" w:rsidRPr="00C3176D" w14:paraId="106C2007" w14:textId="77777777" w:rsidTr="00C3176D">
        <w:trPr>
          <w:tblHeader/>
          <w:tblCellSpacing w:w="15" w:type="dxa"/>
        </w:trPr>
        <w:tc>
          <w:tcPr>
            <w:tcW w:w="0" w:type="auto"/>
            <w:vAlign w:val="center"/>
            <w:hideMark/>
          </w:tcPr>
          <w:p w14:paraId="303EEAD7" w14:textId="77777777" w:rsidR="00C3176D" w:rsidRPr="00C3176D" w:rsidRDefault="00C3176D" w:rsidP="00C3176D">
            <w:pPr>
              <w:rPr>
                <w:b/>
                <w:bCs/>
              </w:rPr>
            </w:pPr>
            <w:r w:rsidRPr="00C3176D">
              <w:rPr>
                <w:b/>
                <w:bCs/>
              </w:rPr>
              <w:t>Priority</w:t>
            </w:r>
          </w:p>
        </w:tc>
        <w:tc>
          <w:tcPr>
            <w:tcW w:w="0" w:type="auto"/>
            <w:vAlign w:val="center"/>
            <w:hideMark/>
          </w:tcPr>
          <w:p w14:paraId="78C3FF56" w14:textId="77777777" w:rsidR="00C3176D" w:rsidRPr="00C3176D" w:rsidRDefault="00C3176D" w:rsidP="00C3176D">
            <w:pPr>
              <w:rPr>
                <w:b/>
                <w:bCs/>
              </w:rPr>
            </w:pPr>
            <w:r w:rsidRPr="00C3176D">
              <w:rPr>
                <w:b/>
                <w:bCs/>
              </w:rPr>
              <w:t>Action</w:t>
            </w:r>
          </w:p>
        </w:tc>
        <w:tc>
          <w:tcPr>
            <w:tcW w:w="0" w:type="auto"/>
            <w:vAlign w:val="center"/>
            <w:hideMark/>
          </w:tcPr>
          <w:p w14:paraId="12278027" w14:textId="77777777" w:rsidR="00C3176D" w:rsidRPr="00C3176D" w:rsidRDefault="00C3176D" w:rsidP="00C3176D">
            <w:pPr>
              <w:rPr>
                <w:b/>
                <w:bCs/>
              </w:rPr>
            </w:pPr>
            <w:r w:rsidRPr="00C3176D">
              <w:rPr>
                <w:b/>
                <w:bCs/>
              </w:rPr>
              <w:t>Owner</w:t>
            </w:r>
          </w:p>
        </w:tc>
      </w:tr>
      <w:tr w:rsidR="00C3176D" w:rsidRPr="00C3176D" w14:paraId="4B3E07C5" w14:textId="77777777" w:rsidTr="00C3176D">
        <w:trPr>
          <w:tblCellSpacing w:w="15" w:type="dxa"/>
        </w:trPr>
        <w:tc>
          <w:tcPr>
            <w:tcW w:w="0" w:type="auto"/>
            <w:vAlign w:val="center"/>
            <w:hideMark/>
          </w:tcPr>
          <w:p w14:paraId="1F156770" w14:textId="77777777" w:rsidR="00C3176D" w:rsidRPr="00C3176D" w:rsidRDefault="00C3176D" w:rsidP="00C3176D">
            <w:r w:rsidRPr="00C3176D">
              <w:t>High</w:t>
            </w:r>
          </w:p>
        </w:tc>
        <w:tc>
          <w:tcPr>
            <w:tcW w:w="0" w:type="auto"/>
            <w:vAlign w:val="center"/>
            <w:hideMark/>
          </w:tcPr>
          <w:p w14:paraId="132E04B0" w14:textId="77777777" w:rsidR="00C3176D" w:rsidRPr="00C3176D" w:rsidRDefault="00C3176D" w:rsidP="00C3176D">
            <w:r w:rsidRPr="00C3176D">
              <w:t>Validate all existing BIND567 inventory and quarantine non-conforming batches</w:t>
            </w:r>
          </w:p>
        </w:tc>
        <w:tc>
          <w:tcPr>
            <w:tcW w:w="0" w:type="auto"/>
            <w:vAlign w:val="center"/>
            <w:hideMark/>
          </w:tcPr>
          <w:p w14:paraId="677694F9" w14:textId="77777777" w:rsidR="00C3176D" w:rsidRPr="00C3176D" w:rsidRDefault="00C3176D" w:rsidP="00C3176D">
            <w:r w:rsidRPr="00C3176D">
              <w:t>Quality Assurance</w:t>
            </w:r>
          </w:p>
        </w:tc>
      </w:tr>
      <w:tr w:rsidR="00C3176D" w:rsidRPr="00C3176D" w14:paraId="55E27834" w14:textId="77777777" w:rsidTr="00C3176D">
        <w:trPr>
          <w:tblCellSpacing w:w="15" w:type="dxa"/>
        </w:trPr>
        <w:tc>
          <w:tcPr>
            <w:tcW w:w="0" w:type="auto"/>
            <w:vAlign w:val="center"/>
            <w:hideMark/>
          </w:tcPr>
          <w:p w14:paraId="25BCFF50" w14:textId="77777777" w:rsidR="00C3176D" w:rsidRPr="00C3176D" w:rsidRDefault="00C3176D" w:rsidP="00C3176D">
            <w:r w:rsidRPr="00C3176D">
              <w:lastRenderedPageBreak/>
              <w:t>High</w:t>
            </w:r>
          </w:p>
        </w:tc>
        <w:tc>
          <w:tcPr>
            <w:tcW w:w="0" w:type="auto"/>
            <w:vAlign w:val="center"/>
            <w:hideMark/>
          </w:tcPr>
          <w:p w14:paraId="5E9B655F" w14:textId="77777777" w:rsidR="00C3176D" w:rsidRPr="00C3176D" w:rsidRDefault="00C3176D" w:rsidP="00C3176D">
            <w:r w:rsidRPr="00C3176D">
              <w:t>Conduct root cause analysis for BIND567 quality failures</w:t>
            </w:r>
          </w:p>
        </w:tc>
        <w:tc>
          <w:tcPr>
            <w:tcW w:w="0" w:type="auto"/>
            <w:vAlign w:val="center"/>
            <w:hideMark/>
          </w:tcPr>
          <w:p w14:paraId="0A8CC807" w14:textId="77777777" w:rsidR="00C3176D" w:rsidRPr="00C3176D" w:rsidRDefault="00C3176D" w:rsidP="00C3176D">
            <w:r w:rsidRPr="00C3176D">
              <w:t>Quality &amp; Manufacturing</w:t>
            </w:r>
          </w:p>
        </w:tc>
      </w:tr>
      <w:tr w:rsidR="00C3176D" w:rsidRPr="00C3176D" w14:paraId="68DDD55A" w14:textId="77777777" w:rsidTr="00C3176D">
        <w:trPr>
          <w:tblCellSpacing w:w="15" w:type="dxa"/>
        </w:trPr>
        <w:tc>
          <w:tcPr>
            <w:tcW w:w="0" w:type="auto"/>
            <w:vAlign w:val="center"/>
            <w:hideMark/>
          </w:tcPr>
          <w:p w14:paraId="6C2A3D8D" w14:textId="77777777" w:rsidR="00C3176D" w:rsidRPr="00C3176D" w:rsidRDefault="00C3176D" w:rsidP="00C3176D">
            <w:r w:rsidRPr="00C3176D">
              <w:t>High</w:t>
            </w:r>
          </w:p>
        </w:tc>
        <w:tc>
          <w:tcPr>
            <w:tcW w:w="0" w:type="auto"/>
            <w:vAlign w:val="center"/>
            <w:hideMark/>
          </w:tcPr>
          <w:p w14:paraId="2B88422F" w14:textId="77777777" w:rsidR="00C3176D" w:rsidRPr="00C3176D" w:rsidRDefault="00C3176D" w:rsidP="00C3176D">
            <w:r w:rsidRPr="00C3176D">
              <w:t>Perform traceability audit of COMP042 documentation</w:t>
            </w:r>
          </w:p>
        </w:tc>
        <w:tc>
          <w:tcPr>
            <w:tcW w:w="0" w:type="auto"/>
            <w:vAlign w:val="center"/>
            <w:hideMark/>
          </w:tcPr>
          <w:p w14:paraId="255FD792" w14:textId="77777777" w:rsidR="00C3176D" w:rsidRPr="00C3176D" w:rsidRDefault="00C3176D" w:rsidP="00C3176D">
            <w:r w:rsidRPr="00C3176D">
              <w:t>Supply Chain &amp; Regulatory Affairs</w:t>
            </w:r>
          </w:p>
        </w:tc>
      </w:tr>
      <w:tr w:rsidR="00C3176D" w:rsidRPr="00C3176D" w14:paraId="14B78ECF" w14:textId="77777777" w:rsidTr="00C3176D">
        <w:trPr>
          <w:tblCellSpacing w:w="15" w:type="dxa"/>
        </w:trPr>
        <w:tc>
          <w:tcPr>
            <w:tcW w:w="0" w:type="auto"/>
            <w:vAlign w:val="center"/>
            <w:hideMark/>
          </w:tcPr>
          <w:p w14:paraId="214ECB51" w14:textId="77777777" w:rsidR="00C3176D" w:rsidRPr="00C3176D" w:rsidRDefault="00C3176D" w:rsidP="00C3176D">
            <w:r w:rsidRPr="00C3176D">
              <w:t>High</w:t>
            </w:r>
          </w:p>
        </w:tc>
        <w:tc>
          <w:tcPr>
            <w:tcW w:w="0" w:type="auto"/>
            <w:vAlign w:val="center"/>
            <w:hideMark/>
          </w:tcPr>
          <w:p w14:paraId="66DAB24C" w14:textId="77777777" w:rsidR="00C3176D" w:rsidRPr="00C3176D" w:rsidRDefault="00C3176D" w:rsidP="00C3176D">
            <w:r w:rsidRPr="00C3176D">
              <w:t>Audit COMP043 supplier GMP compliance</w:t>
            </w:r>
          </w:p>
        </w:tc>
        <w:tc>
          <w:tcPr>
            <w:tcW w:w="0" w:type="auto"/>
            <w:vAlign w:val="center"/>
            <w:hideMark/>
          </w:tcPr>
          <w:p w14:paraId="6EF6FF93" w14:textId="77777777" w:rsidR="00C3176D" w:rsidRPr="00C3176D" w:rsidRDefault="00C3176D" w:rsidP="00C3176D">
            <w:r w:rsidRPr="00C3176D">
              <w:t>Supplier Quality Team</w:t>
            </w:r>
          </w:p>
        </w:tc>
      </w:tr>
      <w:tr w:rsidR="00C3176D" w:rsidRPr="00C3176D" w14:paraId="7DB2D657" w14:textId="77777777" w:rsidTr="00C3176D">
        <w:trPr>
          <w:tblCellSpacing w:w="15" w:type="dxa"/>
        </w:trPr>
        <w:tc>
          <w:tcPr>
            <w:tcW w:w="0" w:type="auto"/>
            <w:vAlign w:val="center"/>
            <w:hideMark/>
          </w:tcPr>
          <w:p w14:paraId="60EE5DF5" w14:textId="77777777" w:rsidR="00C3176D" w:rsidRPr="00C3176D" w:rsidRDefault="00C3176D" w:rsidP="00C3176D">
            <w:r w:rsidRPr="00C3176D">
              <w:t>Medium</w:t>
            </w:r>
          </w:p>
        </w:tc>
        <w:tc>
          <w:tcPr>
            <w:tcW w:w="0" w:type="auto"/>
            <w:vAlign w:val="center"/>
            <w:hideMark/>
          </w:tcPr>
          <w:p w14:paraId="33977A23" w14:textId="77777777" w:rsidR="00C3176D" w:rsidRPr="00C3176D" w:rsidRDefault="00C3176D" w:rsidP="00C3176D">
            <w:r w:rsidRPr="00C3176D">
              <w:t>Establish alternate qualified suppliers for critical components</w:t>
            </w:r>
          </w:p>
        </w:tc>
        <w:tc>
          <w:tcPr>
            <w:tcW w:w="0" w:type="auto"/>
            <w:vAlign w:val="center"/>
            <w:hideMark/>
          </w:tcPr>
          <w:p w14:paraId="55356D66" w14:textId="77777777" w:rsidR="00C3176D" w:rsidRPr="00C3176D" w:rsidRDefault="00C3176D" w:rsidP="00C3176D">
            <w:r w:rsidRPr="00C3176D">
              <w:t>Procurement</w:t>
            </w:r>
          </w:p>
        </w:tc>
      </w:tr>
      <w:tr w:rsidR="00C3176D" w:rsidRPr="00C3176D" w14:paraId="22083ACE" w14:textId="77777777" w:rsidTr="00C3176D">
        <w:trPr>
          <w:tblCellSpacing w:w="15" w:type="dxa"/>
        </w:trPr>
        <w:tc>
          <w:tcPr>
            <w:tcW w:w="0" w:type="auto"/>
            <w:vAlign w:val="center"/>
            <w:hideMark/>
          </w:tcPr>
          <w:p w14:paraId="50D5C436" w14:textId="77777777" w:rsidR="00C3176D" w:rsidRPr="00C3176D" w:rsidRDefault="00C3176D" w:rsidP="00C3176D">
            <w:r w:rsidRPr="00C3176D">
              <w:t>Medium</w:t>
            </w:r>
          </w:p>
        </w:tc>
        <w:tc>
          <w:tcPr>
            <w:tcW w:w="0" w:type="auto"/>
            <w:vAlign w:val="center"/>
            <w:hideMark/>
          </w:tcPr>
          <w:p w14:paraId="33D52828" w14:textId="77777777" w:rsidR="00C3176D" w:rsidRPr="00C3176D" w:rsidRDefault="00C3176D" w:rsidP="00C3176D">
            <w:r w:rsidRPr="00C3176D">
              <w:t>Increase supplier monitoring and performance reviews</w:t>
            </w:r>
          </w:p>
        </w:tc>
        <w:tc>
          <w:tcPr>
            <w:tcW w:w="0" w:type="auto"/>
            <w:vAlign w:val="center"/>
            <w:hideMark/>
          </w:tcPr>
          <w:p w14:paraId="13724686" w14:textId="77777777" w:rsidR="00C3176D" w:rsidRPr="00C3176D" w:rsidRDefault="00C3176D" w:rsidP="00C3176D">
            <w:r w:rsidRPr="00C3176D">
              <w:t>Supply Chain Management</w:t>
            </w:r>
          </w:p>
        </w:tc>
      </w:tr>
      <w:tr w:rsidR="00C3176D" w:rsidRPr="00C3176D" w14:paraId="6AC6C63B" w14:textId="77777777" w:rsidTr="00C3176D">
        <w:trPr>
          <w:tblCellSpacing w:w="15" w:type="dxa"/>
        </w:trPr>
        <w:tc>
          <w:tcPr>
            <w:tcW w:w="0" w:type="auto"/>
            <w:vAlign w:val="center"/>
            <w:hideMark/>
          </w:tcPr>
          <w:p w14:paraId="30C4A630" w14:textId="77777777" w:rsidR="00C3176D" w:rsidRPr="00C3176D" w:rsidRDefault="00C3176D" w:rsidP="00C3176D">
            <w:r w:rsidRPr="00C3176D">
              <w:t>Medium</w:t>
            </w:r>
          </w:p>
        </w:tc>
        <w:tc>
          <w:tcPr>
            <w:tcW w:w="0" w:type="auto"/>
            <w:vAlign w:val="center"/>
            <w:hideMark/>
          </w:tcPr>
          <w:p w14:paraId="03283F81" w14:textId="77777777" w:rsidR="00C3176D" w:rsidRPr="00C3176D" w:rsidRDefault="00C3176D" w:rsidP="00C3176D">
            <w:r w:rsidRPr="00C3176D">
              <w:t>Implement enhanced inventory tracking and documentation controls</w:t>
            </w:r>
          </w:p>
        </w:tc>
        <w:tc>
          <w:tcPr>
            <w:tcW w:w="0" w:type="auto"/>
            <w:vAlign w:val="center"/>
            <w:hideMark/>
          </w:tcPr>
          <w:p w14:paraId="3A18F6F4" w14:textId="77777777" w:rsidR="00C3176D" w:rsidRPr="00C3176D" w:rsidRDefault="00C3176D" w:rsidP="00C3176D">
            <w:r w:rsidRPr="00C3176D">
              <w:t>Operations</w:t>
            </w:r>
          </w:p>
        </w:tc>
      </w:tr>
      <w:tr w:rsidR="00C3176D" w:rsidRPr="00C3176D" w14:paraId="3818D356" w14:textId="77777777" w:rsidTr="00C3176D">
        <w:trPr>
          <w:tblCellSpacing w:w="15" w:type="dxa"/>
        </w:trPr>
        <w:tc>
          <w:tcPr>
            <w:tcW w:w="0" w:type="auto"/>
            <w:vAlign w:val="center"/>
            <w:hideMark/>
          </w:tcPr>
          <w:p w14:paraId="66AFC33C" w14:textId="77777777" w:rsidR="00C3176D" w:rsidRPr="00C3176D" w:rsidRDefault="00C3176D" w:rsidP="00C3176D">
            <w:r w:rsidRPr="00C3176D">
              <w:t>Ongoing</w:t>
            </w:r>
          </w:p>
        </w:tc>
        <w:tc>
          <w:tcPr>
            <w:tcW w:w="0" w:type="auto"/>
            <w:vAlign w:val="center"/>
            <w:hideMark/>
          </w:tcPr>
          <w:p w14:paraId="7FE1D419" w14:textId="77777777" w:rsidR="00C3176D" w:rsidRPr="00C3176D" w:rsidRDefault="00C3176D" w:rsidP="00C3176D">
            <w:r w:rsidRPr="00C3176D">
              <w:t>Conduct weekly cross-functional compliance reviews</w:t>
            </w:r>
          </w:p>
        </w:tc>
        <w:tc>
          <w:tcPr>
            <w:tcW w:w="0" w:type="auto"/>
            <w:vAlign w:val="center"/>
            <w:hideMark/>
          </w:tcPr>
          <w:p w14:paraId="1592B43A" w14:textId="77777777" w:rsidR="00C3176D" w:rsidRPr="00C3176D" w:rsidRDefault="00C3176D" w:rsidP="00C3176D">
            <w:r w:rsidRPr="00C3176D">
              <w:t>Leadership Team</w:t>
            </w:r>
          </w:p>
        </w:tc>
      </w:tr>
    </w:tbl>
    <w:p w14:paraId="2B7061E9" w14:textId="401DDBFF" w:rsidR="00C3176D" w:rsidRPr="00C3176D" w:rsidRDefault="00C3176D" w:rsidP="00C3176D"/>
    <w:p w14:paraId="1168EF0E" w14:textId="77777777" w:rsidR="00C3176D" w:rsidRPr="00C3176D" w:rsidRDefault="00C3176D" w:rsidP="00C3176D">
      <w:pPr>
        <w:rPr>
          <w:b/>
          <w:bCs/>
        </w:rPr>
      </w:pPr>
      <w:r w:rsidRPr="00C3176D">
        <w:rPr>
          <w:b/>
          <w:bCs/>
        </w:rPr>
        <w:t>Conclusion</w:t>
      </w:r>
    </w:p>
    <w:p w14:paraId="01A7A389" w14:textId="77777777" w:rsidR="00C3176D" w:rsidRPr="00C3176D" w:rsidRDefault="00C3176D" w:rsidP="00C3176D">
      <w:r w:rsidRPr="00C3176D">
        <w:t>The current supply chain challenges represent a significant threat to operational efficiency and FDA compliance. Quality control failures involving BIND567, traceability deficiencies related to COMP042, and GMP compliance concerns with COMP043 require immediate corrective action. A coordinated cross-functional response focused on quality assurance, supplier management, and regulatory compliance will help mitigate risks, stabilize production, and ensure continued adherence to FDA requirements.</w:t>
      </w:r>
    </w:p>
    <w:p w14:paraId="7F9CDE9D" w14:textId="77777777" w:rsidR="00E2014C" w:rsidRPr="00C3176D" w:rsidRDefault="00E2014C" w:rsidP="00C3176D"/>
    <w:sectPr w:rsidR="00E2014C" w:rsidRPr="00C3176D">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ordia New">
    <w:panose1 w:val="020B0304020202020204"/>
    <w:charset w:val="00"/>
    <w:family w:val="swiss"/>
    <w:pitch w:val="variable"/>
    <w:sig w:usb0="81000003" w:usb1="00000000" w:usb2="00000000" w:usb3="00000000" w:csb0="00010001" w:csb1="00000000"/>
  </w:font>
  <w:font w:name="Calibri Light">
    <w:panose1 w:val="020F0302020204030204"/>
    <w:charset w:val="00"/>
    <w:family w:val="swiss"/>
    <w:pitch w:val="variable"/>
    <w:sig w:usb0="E4002EFF" w:usb1="C200247B" w:usb2="00000009" w:usb3="00000000" w:csb0="000001FF" w:csb1="00000000"/>
  </w:font>
  <w:font w:name="DengXian Light">
    <w:altName w:val="等线 Light"/>
    <w:panose1 w:val="02010600030101010101"/>
    <w:charset w:val="86"/>
    <w:family w:val="auto"/>
    <w:pitch w:val="variable"/>
    <w:sig w:usb0="A00002BF" w:usb1="38CF7CFA" w:usb2="00000016" w:usb3="00000000" w:csb0="0004000F" w:csb1="00000000"/>
  </w:font>
  <w:font w:name="Angsana New">
    <w:panose1 w:val="02020603050405020304"/>
    <w:charset w:val="00"/>
    <w:family w:val="roman"/>
    <w:pitch w:val="variable"/>
    <w:sig w:usb0="81000003" w:usb1="00000000" w:usb2="00000000" w:usb3="00000000" w:csb0="00010001" w:csb1="00000000"/>
  </w:font>
  <w:font w:name="DengXian">
    <w:altName w:val="等线"/>
    <w:panose1 w:val="02010600030101010101"/>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835B8B"/>
    <w:multiLevelType w:val="multilevel"/>
    <w:tmpl w:val="7B4C9BF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1C964E86"/>
    <w:multiLevelType w:val="multilevel"/>
    <w:tmpl w:val="41A859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CE75ED3"/>
    <w:multiLevelType w:val="multilevel"/>
    <w:tmpl w:val="252C8E6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39844C5F"/>
    <w:multiLevelType w:val="multilevel"/>
    <w:tmpl w:val="2E3ADC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0DA3193"/>
    <w:multiLevelType w:val="multilevel"/>
    <w:tmpl w:val="1576CA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2823718"/>
    <w:multiLevelType w:val="multilevel"/>
    <w:tmpl w:val="C19E7E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5F9290E"/>
    <w:multiLevelType w:val="multilevel"/>
    <w:tmpl w:val="4BA0C8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799E7712"/>
    <w:multiLevelType w:val="multilevel"/>
    <w:tmpl w:val="5CDA90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4795463">
    <w:abstractNumId w:val="1"/>
  </w:num>
  <w:num w:numId="2" w16cid:durableId="1531604099">
    <w:abstractNumId w:val="6"/>
  </w:num>
  <w:num w:numId="3" w16cid:durableId="1592204664">
    <w:abstractNumId w:val="3"/>
  </w:num>
  <w:num w:numId="4" w16cid:durableId="1931506983">
    <w:abstractNumId w:val="2"/>
  </w:num>
  <w:num w:numId="5" w16cid:durableId="997459359">
    <w:abstractNumId w:val="4"/>
  </w:num>
  <w:num w:numId="6" w16cid:durableId="1986927967">
    <w:abstractNumId w:val="5"/>
  </w:num>
  <w:num w:numId="7" w16cid:durableId="703943024">
    <w:abstractNumId w:val="7"/>
  </w:num>
  <w:num w:numId="8" w16cid:durableId="187927379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compat>
    <w:applyBreaking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422AE"/>
    <w:rsid w:val="000D557E"/>
    <w:rsid w:val="001E20A7"/>
    <w:rsid w:val="002D4867"/>
    <w:rsid w:val="004422AE"/>
    <w:rsid w:val="006E68F8"/>
    <w:rsid w:val="0078737D"/>
    <w:rsid w:val="009503ED"/>
    <w:rsid w:val="009B3DE3"/>
    <w:rsid w:val="00A13299"/>
    <w:rsid w:val="00C3176D"/>
    <w:rsid w:val="00D977FA"/>
    <w:rsid w:val="00DB5AA6"/>
    <w:rsid w:val="00E2014C"/>
  </w:rsids>
  <m:mathPr>
    <m:mathFont m:val="Cambria Math"/>
    <m:brkBin m:val="before"/>
    <m:brkBinSub m:val="--"/>
    <m:smallFrac m:val="0"/>
    <m:dispDef/>
    <m:lMargin m:val="0"/>
    <m:rMargin m:val="0"/>
    <m:defJc m:val="centerGroup"/>
    <m:wrapIndent m:val="1440"/>
    <m:intLim m:val="subSup"/>
    <m:naryLim m:val="undOvr"/>
  </m:mathPr>
  <w:themeFontLang w:val="en-US" w:eastAsia="zh-CN" w:bidi="th-T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21EADDE"/>
  <w15:chartTrackingRefBased/>
  <w15:docId w15:val="{D0ACA694-5899-49ED-A957-FD2296BB10A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30"/>
        <w:lang w:val="en-US" w:eastAsia="en-US" w:bidi="th-TH"/>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422AE"/>
    <w:pPr>
      <w:keepNext/>
      <w:keepLines/>
      <w:spacing w:before="360" w:after="80"/>
      <w:outlineLvl w:val="0"/>
    </w:pPr>
    <w:rPr>
      <w:rFonts w:asciiTheme="majorHAnsi" w:eastAsiaTheme="majorEastAsia" w:hAnsiTheme="majorHAnsi" w:cstheme="majorBidi"/>
      <w:color w:val="2F5496" w:themeColor="accent1" w:themeShade="BF"/>
      <w:sz w:val="40"/>
      <w:szCs w:val="50"/>
    </w:rPr>
  </w:style>
  <w:style w:type="paragraph" w:styleId="Heading2">
    <w:name w:val="heading 2"/>
    <w:basedOn w:val="Normal"/>
    <w:next w:val="Normal"/>
    <w:link w:val="Heading2Char"/>
    <w:uiPriority w:val="9"/>
    <w:semiHidden/>
    <w:unhideWhenUsed/>
    <w:qFormat/>
    <w:rsid w:val="004422AE"/>
    <w:pPr>
      <w:keepNext/>
      <w:keepLines/>
      <w:spacing w:before="160" w:after="80"/>
      <w:outlineLvl w:val="1"/>
    </w:pPr>
    <w:rPr>
      <w:rFonts w:asciiTheme="majorHAnsi" w:eastAsiaTheme="majorEastAsia" w:hAnsiTheme="majorHAnsi" w:cstheme="majorBidi"/>
      <w:color w:val="2F5496" w:themeColor="accent1" w:themeShade="BF"/>
      <w:sz w:val="32"/>
      <w:szCs w:val="40"/>
    </w:rPr>
  </w:style>
  <w:style w:type="paragraph" w:styleId="Heading3">
    <w:name w:val="heading 3"/>
    <w:basedOn w:val="Normal"/>
    <w:next w:val="Normal"/>
    <w:link w:val="Heading3Char"/>
    <w:uiPriority w:val="9"/>
    <w:semiHidden/>
    <w:unhideWhenUsed/>
    <w:qFormat/>
    <w:rsid w:val="004422AE"/>
    <w:pPr>
      <w:keepNext/>
      <w:keepLines/>
      <w:spacing w:before="160" w:after="80"/>
      <w:outlineLvl w:val="2"/>
    </w:pPr>
    <w:rPr>
      <w:rFonts w:eastAsiaTheme="majorEastAsia" w:cstheme="majorBidi"/>
      <w:color w:val="2F5496" w:themeColor="accent1" w:themeShade="BF"/>
      <w:sz w:val="28"/>
      <w:szCs w:val="35"/>
    </w:rPr>
  </w:style>
  <w:style w:type="paragraph" w:styleId="Heading4">
    <w:name w:val="heading 4"/>
    <w:basedOn w:val="Normal"/>
    <w:next w:val="Normal"/>
    <w:link w:val="Heading4Char"/>
    <w:uiPriority w:val="9"/>
    <w:semiHidden/>
    <w:unhideWhenUsed/>
    <w:qFormat/>
    <w:rsid w:val="004422AE"/>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4422AE"/>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4422A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422A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422A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422A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422AE"/>
    <w:rPr>
      <w:rFonts w:asciiTheme="majorHAnsi" w:eastAsiaTheme="majorEastAsia" w:hAnsiTheme="majorHAnsi" w:cstheme="majorBidi"/>
      <w:color w:val="2F5496" w:themeColor="accent1" w:themeShade="BF"/>
      <w:sz w:val="40"/>
      <w:szCs w:val="50"/>
    </w:rPr>
  </w:style>
  <w:style w:type="character" w:customStyle="1" w:styleId="Heading2Char">
    <w:name w:val="Heading 2 Char"/>
    <w:basedOn w:val="DefaultParagraphFont"/>
    <w:link w:val="Heading2"/>
    <w:uiPriority w:val="9"/>
    <w:semiHidden/>
    <w:rsid w:val="004422AE"/>
    <w:rPr>
      <w:rFonts w:asciiTheme="majorHAnsi" w:eastAsiaTheme="majorEastAsia" w:hAnsiTheme="majorHAnsi" w:cstheme="majorBidi"/>
      <w:color w:val="2F5496" w:themeColor="accent1" w:themeShade="BF"/>
      <w:sz w:val="32"/>
      <w:szCs w:val="40"/>
    </w:rPr>
  </w:style>
  <w:style w:type="character" w:customStyle="1" w:styleId="Heading3Char">
    <w:name w:val="Heading 3 Char"/>
    <w:basedOn w:val="DefaultParagraphFont"/>
    <w:link w:val="Heading3"/>
    <w:uiPriority w:val="9"/>
    <w:semiHidden/>
    <w:rsid w:val="004422AE"/>
    <w:rPr>
      <w:rFonts w:eastAsiaTheme="majorEastAsia" w:cstheme="majorBidi"/>
      <w:color w:val="2F5496" w:themeColor="accent1" w:themeShade="BF"/>
      <w:sz w:val="28"/>
      <w:szCs w:val="35"/>
    </w:rPr>
  </w:style>
  <w:style w:type="character" w:customStyle="1" w:styleId="Heading4Char">
    <w:name w:val="Heading 4 Char"/>
    <w:basedOn w:val="DefaultParagraphFont"/>
    <w:link w:val="Heading4"/>
    <w:uiPriority w:val="9"/>
    <w:semiHidden/>
    <w:rsid w:val="004422AE"/>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4422AE"/>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4422A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422A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422A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422AE"/>
    <w:rPr>
      <w:rFonts w:eastAsiaTheme="majorEastAsia" w:cstheme="majorBidi"/>
      <w:color w:val="272727" w:themeColor="text1" w:themeTint="D8"/>
    </w:rPr>
  </w:style>
  <w:style w:type="paragraph" w:styleId="Title">
    <w:name w:val="Title"/>
    <w:basedOn w:val="Normal"/>
    <w:next w:val="Normal"/>
    <w:link w:val="TitleChar"/>
    <w:uiPriority w:val="10"/>
    <w:qFormat/>
    <w:rsid w:val="004422AE"/>
    <w:pPr>
      <w:spacing w:after="80" w:line="240" w:lineRule="auto"/>
      <w:contextualSpacing/>
    </w:pPr>
    <w:rPr>
      <w:rFonts w:asciiTheme="majorHAnsi" w:eastAsiaTheme="majorEastAsia" w:hAnsiTheme="majorHAnsi" w:cstheme="majorBidi"/>
      <w:spacing w:val="-10"/>
      <w:kern w:val="28"/>
      <w:sz w:val="56"/>
      <w:szCs w:val="71"/>
    </w:rPr>
  </w:style>
  <w:style w:type="character" w:customStyle="1" w:styleId="TitleChar">
    <w:name w:val="Title Char"/>
    <w:basedOn w:val="DefaultParagraphFont"/>
    <w:link w:val="Title"/>
    <w:uiPriority w:val="10"/>
    <w:rsid w:val="004422AE"/>
    <w:rPr>
      <w:rFonts w:asciiTheme="majorHAnsi" w:eastAsiaTheme="majorEastAsia" w:hAnsiTheme="majorHAnsi" w:cstheme="majorBidi"/>
      <w:spacing w:val="-10"/>
      <w:kern w:val="28"/>
      <w:sz w:val="56"/>
      <w:szCs w:val="71"/>
    </w:rPr>
  </w:style>
  <w:style w:type="paragraph" w:styleId="Subtitle">
    <w:name w:val="Subtitle"/>
    <w:basedOn w:val="Normal"/>
    <w:next w:val="Normal"/>
    <w:link w:val="SubtitleChar"/>
    <w:uiPriority w:val="11"/>
    <w:qFormat/>
    <w:rsid w:val="004422AE"/>
    <w:pPr>
      <w:numPr>
        <w:ilvl w:val="1"/>
      </w:numPr>
    </w:pPr>
    <w:rPr>
      <w:rFonts w:eastAsiaTheme="majorEastAsia" w:cstheme="majorBidi"/>
      <w:color w:val="595959" w:themeColor="text1" w:themeTint="A6"/>
      <w:spacing w:val="15"/>
      <w:sz w:val="28"/>
      <w:szCs w:val="35"/>
    </w:rPr>
  </w:style>
  <w:style w:type="character" w:customStyle="1" w:styleId="SubtitleChar">
    <w:name w:val="Subtitle Char"/>
    <w:basedOn w:val="DefaultParagraphFont"/>
    <w:link w:val="Subtitle"/>
    <w:uiPriority w:val="11"/>
    <w:rsid w:val="004422AE"/>
    <w:rPr>
      <w:rFonts w:eastAsiaTheme="majorEastAsia" w:cstheme="majorBidi"/>
      <w:color w:val="595959" w:themeColor="text1" w:themeTint="A6"/>
      <w:spacing w:val="15"/>
      <w:sz w:val="28"/>
      <w:szCs w:val="35"/>
    </w:rPr>
  </w:style>
  <w:style w:type="paragraph" w:styleId="Quote">
    <w:name w:val="Quote"/>
    <w:basedOn w:val="Normal"/>
    <w:next w:val="Normal"/>
    <w:link w:val="QuoteChar"/>
    <w:uiPriority w:val="29"/>
    <w:qFormat/>
    <w:rsid w:val="004422AE"/>
    <w:pPr>
      <w:spacing w:before="160"/>
      <w:jc w:val="center"/>
    </w:pPr>
    <w:rPr>
      <w:i/>
      <w:iCs/>
      <w:color w:val="404040" w:themeColor="text1" w:themeTint="BF"/>
    </w:rPr>
  </w:style>
  <w:style w:type="character" w:customStyle="1" w:styleId="QuoteChar">
    <w:name w:val="Quote Char"/>
    <w:basedOn w:val="DefaultParagraphFont"/>
    <w:link w:val="Quote"/>
    <w:uiPriority w:val="29"/>
    <w:rsid w:val="004422AE"/>
    <w:rPr>
      <w:i/>
      <w:iCs/>
      <w:color w:val="404040" w:themeColor="text1" w:themeTint="BF"/>
    </w:rPr>
  </w:style>
  <w:style w:type="paragraph" w:styleId="ListParagraph">
    <w:name w:val="List Paragraph"/>
    <w:basedOn w:val="Normal"/>
    <w:uiPriority w:val="34"/>
    <w:qFormat/>
    <w:rsid w:val="004422AE"/>
    <w:pPr>
      <w:ind w:left="720"/>
      <w:contextualSpacing/>
    </w:pPr>
  </w:style>
  <w:style w:type="character" w:styleId="IntenseEmphasis">
    <w:name w:val="Intense Emphasis"/>
    <w:basedOn w:val="DefaultParagraphFont"/>
    <w:uiPriority w:val="21"/>
    <w:qFormat/>
    <w:rsid w:val="004422AE"/>
    <w:rPr>
      <w:i/>
      <w:iCs/>
      <w:color w:val="2F5496" w:themeColor="accent1" w:themeShade="BF"/>
    </w:rPr>
  </w:style>
  <w:style w:type="paragraph" w:styleId="IntenseQuote">
    <w:name w:val="Intense Quote"/>
    <w:basedOn w:val="Normal"/>
    <w:next w:val="Normal"/>
    <w:link w:val="IntenseQuoteChar"/>
    <w:uiPriority w:val="30"/>
    <w:qFormat/>
    <w:rsid w:val="004422AE"/>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4422AE"/>
    <w:rPr>
      <w:i/>
      <w:iCs/>
      <w:color w:val="2F5496" w:themeColor="accent1" w:themeShade="BF"/>
    </w:rPr>
  </w:style>
  <w:style w:type="character" w:styleId="IntenseReference">
    <w:name w:val="Intense Reference"/>
    <w:basedOn w:val="DefaultParagraphFont"/>
    <w:uiPriority w:val="32"/>
    <w:qFormat/>
    <w:rsid w:val="004422AE"/>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407</Words>
  <Characters>2325</Characters>
  <Application>Microsoft Office Word</Application>
  <DocSecurity>0</DocSecurity>
  <Lines>19</Lines>
  <Paragraphs>5</Paragraphs>
  <ScaleCrop>false</ScaleCrop>
  <Company/>
  <LinksUpToDate>false</LinksUpToDate>
  <CharactersWithSpaces>2727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Shreya Kothiyal</dc:creator>
  <cp:keywords/>
  <dc:description/>
  <cp:lastModifiedBy>Shreya Kothiyal</cp:lastModifiedBy>
  <cp:revision>2</cp:revision>
  <dcterms:created xsi:type="dcterms:W3CDTF">2026-06-12T06:27:00Z</dcterms:created>
  <dcterms:modified xsi:type="dcterms:W3CDTF">2026-06-12T06:27:00Z</dcterms:modified>
</cp:coreProperties>
</file>