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pPr>
      <w:r>
        <w:rPr>
          <w:b/>
          <w:color w:val="138A8A"/>
          <w:sz w:val="20"/>
        </w:rPr>
        <w:t>WEEK 1  |  INTERNSHIP PROJECT</w:t>
      </w:r>
    </w:p>
    <w:p>
      <w:pPr>
        <w:pStyle w:val="Title"/>
        <w:spacing w:before="280" w:after="240"/>
      </w:pPr>
      <w:r>
        <w:t>Beauty &amp; Wellness</w:t>
        <w:br/>
        <w:t>Customer Purchase and Retention Analysis</w:t>
      </w:r>
    </w:p>
    <w:p>
      <w:pPr>
        <w:pStyle w:val="Subtitle"/>
      </w:pPr>
      <w:r>
        <w:t>Evidence-led research proposal and analysis blueprint</w:t>
      </w:r>
    </w:p>
    <w:p/>
    <w:tbl>
      <w:tblPr>
        <w:tblW w:type="auto" w:w="0"/>
        <w:jc w:val="center"/>
        <w:tblLook w:firstColumn="1" w:firstRow="1" w:lastColumn="0" w:lastRow="0" w:noHBand="0" w:noVBand="1" w:val="04A0"/>
      </w:tblPr>
      <w:tblGrid>
        <w:gridCol w:w="9994"/>
      </w:tblGrid>
      <w:tr>
        <w:tc>
          <w:tcPr>
            <w:tcW w:type="dxa" w:w="9994"/>
            <w:shd w:fill="E8F4F3"/>
            <w:tcMar>
              <w:top w:w="150" w:type="dxa"/>
              <w:start w:w="180" w:type="dxa"/>
              <w:bottom w:w="150" w:type="dxa"/>
              <w:end w:w="180" w:type="dxa"/>
            </w:tcMar>
          </w:tcPr>
          <w:p>
            <w:pPr>
              <w:spacing w:after="0"/>
            </w:pPr>
            <w:r>
              <w:rPr>
                <w:b/>
                <w:color w:val="138A8A"/>
              </w:rPr>
              <w:t xml:space="preserve">PROJECT STATUS  </w:t>
            </w:r>
            <w:r>
              <w:t>Proposed analysis only. No customer dataset has been analyzed and no hypothesis has been tested. This report contains no customer findings.</w:t>
            </w:r>
          </w:p>
        </w:tc>
      </w:tr>
    </w:tbl>
    <w:p>
      <w:pPr>
        <w:spacing w:after="0"/>
      </w:pPr>
    </w:p>
    <w:p>
      <w:pPr>
        <w:spacing w:before="480" w:line="324" w:lineRule="auto"/>
      </w:pPr>
      <w:r>
        <w:t>Prepared: October 10, 2026</w:t>
        <w:br/>
      </w:r>
      <w:r>
        <w:t>Planned effort: 34 hours (within the 30–35-hour brief)</w:t>
        <w:br/>
      </w:r>
      <w:r>
        <w:t>Primary output: Customer-respectful, measurable retention analysis plan</w:t>
      </w:r>
    </w:p>
    <w:p>
      <w:pPr>
        <w:spacing w:before="720"/>
      </w:pPr>
      <w:r>
        <w:rPr>
          <w:i/>
          <w:color w:val="596775"/>
          <w:sz w:val="18"/>
        </w:rPr>
        <w:t>Industry context is attributed to public McKinsey publications; it is not evidence about a specific company or its customers.</w:t>
      </w:r>
    </w:p>
    <w:p>
      <w:r>
        <w:br w:type="page"/>
      </w:r>
    </w:p>
    <w:p>
      <w:pPr>
        <w:pStyle w:val="Heading1"/>
        <w:keepNext/>
      </w:pPr>
      <w:r>
        <w:t>Contents</w:t>
      </w:r>
    </w:p>
    <w:p>
      <w:pPr>
        <w:spacing w:after="120" w:line="259" w:lineRule="auto"/>
      </w:pPr>
      <w:r>
        <w:t>The Word table of contents is field-based. If it is not populated when opened, right-click it and select Update Field, then Update entire table.</w:t>
      </w:r>
    </w:p>
    <w:p>
      <w:pPr>
        <w:spacing w:after="120"/>
      </w:pPr>
      <w:r>
        <w:fldChar w:fldCharType="begin"/>
        <w:instrText xml:space="preserve"> TOC \o "1-2" \h \z \u </w:instrText>
        <w:fldChar w:fldCharType="separate"/>
        <w:t>In Word, right-click here and choose Update Field &gt; Update entire table.</w:t>
        <w:fldChar w:fldCharType="end"/>
      </w:r>
    </w:p>
    <w:p>
      <w:r>
        <w:br w:type="page"/>
      </w:r>
    </w:p>
    <w:p>
      <w:pPr>
        <w:pStyle w:val="Heading1"/>
        <w:keepNext/>
      </w:pPr>
      <w:r>
        <w:t>1. Executive summary</w:t>
      </w:r>
    </w:p>
    <w:p>
      <w:pPr>
        <w:spacing w:after="120" w:line="259" w:lineRule="auto"/>
      </w:pPr>
      <w:r>
        <w:t>This Week 1 project proposes a disciplined way to understand customer purchase and repeat behavior in beauty and wellness. It begins with clear business definitions, approved transaction data, and cohort-aware descriptive analysis. Modeling is optional and conditional on data quality, sufficient follow-up, governance approval, and a decision it can improve. No customer findings are reported because no customer data were supplied.</w:t>
      </w:r>
    </w:p>
    <w:p>
      <w:pPr>
        <w:spacing w:after="120" w:line="259" w:lineRule="auto"/>
      </w:pPr>
      <w:r>
        <w:t>The intended decision is not simply who to target. It is whether validated patterns can support more relevant service or communication, measured against incremental customer and business outcomes while protecting privacy, consent, and customer experience.</w:t>
      </w:r>
    </w:p>
    <w:p>
      <w:pPr>
        <w:pStyle w:val="Caption"/>
        <w:keepNext/>
        <w:spacing w:before="60" w:after="60"/>
      </w:pPr>
      <w:r>
        <w:t>Table 1. Project element / Week 1 proposal</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vAlign w:val="center"/>
          </w:tcPr>
          <w:p>
            <w:pPr>
              <w:spacing w:after="0"/>
            </w:pPr>
            <w:r>
              <w:rPr>
                <w:b/>
                <w:color w:val="FFFFFF"/>
                <w:sz w:val="17"/>
              </w:rPr>
              <w:t>Project element</w:t>
            </w:r>
          </w:p>
        </w:tc>
        <w:tc>
          <w:tcPr>
            <w:tcW w:type="dxa" w:w="4997"/>
            <w:shd w:fill="17324D"/>
            <w:tcMar>
              <w:top w:w="90" w:type="dxa"/>
              <w:start w:w="100" w:type="dxa"/>
              <w:bottom w:w="90" w:type="dxa"/>
              <w:end w:w="100" w:type="dxa"/>
            </w:tcMar>
            <w:vAlign w:val="center"/>
          </w:tcPr>
          <w:p>
            <w:pPr>
              <w:spacing w:after="0"/>
            </w:pPr>
            <w:r>
              <w:rPr>
                <w:b/>
                <w:color w:val="FFFFFF"/>
                <w:sz w:val="17"/>
              </w:rPr>
              <w:t>Week 1 proposal</w:t>
            </w:r>
          </w:p>
        </w:tc>
      </w:tr>
      <w:tr>
        <w:tc>
          <w:tcPr>
            <w:tcW w:type="dxa" w:w="4997"/>
            <w:tcMar>
              <w:top w:w="90" w:type="dxa"/>
              <w:start w:w="100" w:type="dxa"/>
              <w:bottom w:w="90" w:type="dxa"/>
              <w:end w:w="100" w:type="dxa"/>
            </w:tcMar>
            <w:vAlign w:val="top"/>
          </w:tcPr>
          <w:p>
            <w:pPr>
              <w:spacing w:after="0" w:line="240" w:lineRule="auto"/>
            </w:pPr>
            <w:r>
              <w:rPr>
                <w:sz w:val="17"/>
              </w:rPr>
              <w:t>Business question</w:t>
            </w:r>
          </w:p>
        </w:tc>
        <w:tc>
          <w:tcPr>
            <w:tcW w:type="dxa" w:w="4997"/>
            <w:tcMar>
              <w:top w:w="90" w:type="dxa"/>
              <w:start w:w="100" w:type="dxa"/>
              <w:bottom w:w="90" w:type="dxa"/>
              <w:end w:w="100" w:type="dxa"/>
            </w:tcMar>
            <w:vAlign w:val="top"/>
          </w:tcPr>
          <w:p>
            <w:pPr>
              <w:spacing w:after="0" w:line="240" w:lineRule="auto"/>
            </w:pPr>
            <w:r>
              <w:rPr>
                <w:sz w:val="17"/>
              </w:rPr>
              <w:t>Can governed purchase data clarify repeat behavior and inform testable, customer-respectful retention actions?</w:t>
            </w:r>
          </w:p>
        </w:tc>
      </w:tr>
      <w:tr>
        <w:tc>
          <w:tcPr>
            <w:tcW w:type="dxa" w:w="4997"/>
            <w:shd w:fill="F3F5F7"/>
            <w:tcMar>
              <w:top w:w="90" w:type="dxa"/>
              <w:start w:w="100" w:type="dxa"/>
              <w:bottom w:w="90" w:type="dxa"/>
              <w:end w:w="100" w:type="dxa"/>
            </w:tcMar>
            <w:vAlign w:val="top"/>
          </w:tcPr>
          <w:p>
            <w:pPr>
              <w:spacing w:after="0" w:line="240" w:lineRule="auto"/>
            </w:pPr>
            <w:r>
              <w:rPr>
                <w:sz w:val="17"/>
              </w:rPr>
              <w:t>Analysis sequence</w:t>
            </w:r>
          </w:p>
        </w:tc>
        <w:tc>
          <w:tcPr>
            <w:tcW w:type="dxa" w:w="4997"/>
            <w:shd w:fill="F3F5F7"/>
            <w:tcMar>
              <w:top w:w="90" w:type="dxa"/>
              <w:start w:w="100" w:type="dxa"/>
              <w:bottom w:w="90" w:type="dxa"/>
              <w:end w:w="100" w:type="dxa"/>
            </w:tcMar>
            <w:vAlign w:val="top"/>
          </w:tcPr>
          <w:p>
            <w:pPr>
              <w:spacing w:after="0" w:line="240" w:lineRule="auto"/>
            </w:pPr>
            <w:r>
              <w:rPr>
                <w:sz w:val="17"/>
              </w:rPr>
              <w:t>Governance and data checks → descriptive EDA → comparable cohorts → optional time-aware modeling → controlled tests.</w:t>
            </w:r>
          </w:p>
        </w:tc>
      </w:tr>
      <w:tr>
        <w:tc>
          <w:tcPr>
            <w:tcW w:type="dxa" w:w="4997"/>
            <w:tcMar>
              <w:top w:w="90" w:type="dxa"/>
              <w:start w:w="100" w:type="dxa"/>
              <w:bottom w:w="90" w:type="dxa"/>
              <w:end w:w="100" w:type="dxa"/>
            </w:tcMar>
            <w:vAlign w:val="top"/>
          </w:tcPr>
          <w:p>
            <w:pPr>
              <w:spacing w:after="0" w:line="240" w:lineRule="auto"/>
            </w:pPr>
            <w:r>
              <w:rPr>
                <w:sz w:val="17"/>
              </w:rPr>
              <w:t>Customer outcomes</w:t>
            </w:r>
          </w:p>
        </w:tc>
        <w:tc>
          <w:tcPr>
            <w:tcW w:type="dxa" w:w="4997"/>
            <w:tcMar>
              <w:top w:w="90" w:type="dxa"/>
              <w:start w:w="100" w:type="dxa"/>
              <w:bottom w:w="90" w:type="dxa"/>
              <w:end w:w="100" w:type="dxa"/>
            </w:tcMar>
            <w:vAlign w:val="top"/>
          </w:tcPr>
          <w:p>
            <w:pPr>
              <w:spacing w:after="0" w:line="240" w:lineRule="auto"/>
            </w:pPr>
            <w:r>
              <w:rPr>
                <w:sz w:val="17"/>
              </w:rPr>
              <w:t>Repeat purchase and time to second order, with explicit eligibility and complete follow-up.</w:t>
            </w:r>
          </w:p>
        </w:tc>
      </w:tr>
      <w:tr>
        <w:tc>
          <w:tcPr>
            <w:tcW w:type="dxa" w:w="4997"/>
            <w:shd w:fill="F3F5F7"/>
            <w:tcMar>
              <w:top w:w="90" w:type="dxa"/>
              <w:start w:w="100" w:type="dxa"/>
              <w:bottom w:w="90" w:type="dxa"/>
              <w:end w:w="100" w:type="dxa"/>
            </w:tcMar>
            <w:vAlign w:val="top"/>
          </w:tcPr>
          <w:p>
            <w:pPr>
              <w:spacing w:after="0" w:line="240" w:lineRule="auto"/>
            </w:pPr>
            <w:r>
              <w:rPr>
                <w:sz w:val="17"/>
              </w:rPr>
              <w:t>Evidence boundary</w:t>
            </w:r>
          </w:p>
        </w:tc>
        <w:tc>
          <w:tcPr>
            <w:tcW w:type="dxa" w:w="4997"/>
            <w:shd w:fill="F3F5F7"/>
            <w:tcMar>
              <w:top w:w="90" w:type="dxa"/>
              <w:start w:w="100" w:type="dxa"/>
              <w:bottom w:w="90" w:type="dxa"/>
              <w:end w:w="100" w:type="dxa"/>
            </w:tcMar>
            <w:vAlign w:val="top"/>
          </w:tcPr>
          <w:p>
            <w:pPr>
              <w:spacing w:after="0" w:line="240" w:lineRule="auto"/>
            </w:pPr>
            <w:r>
              <w:rPr>
                <w:sz w:val="17"/>
              </w:rPr>
              <w:t>Published industry context is not company evidence; proposed hypotheses remain untested.</w:t>
            </w:r>
          </w:p>
        </w:tc>
      </w:tr>
      <w:tr>
        <w:tc>
          <w:tcPr>
            <w:tcW w:type="dxa" w:w="4997"/>
            <w:tcMar>
              <w:top w:w="90" w:type="dxa"/>
              <w:start w:w="100" w:type="dxa"/>
              <w:bottom w:w="90" w:type="dxa"/>
              <w:end w:w="100" w:type="dxa"/>
            </w:tcMar>
            <w:vAlign w:val="top"/>
          </w:tcPr>
          <w:p>
            <w:pPr>
              <w:spacing w:after="0" w:line="240" w:lineRule="auto"/>
            </w:pPr>
            <w:r>
              <w:rPr>
                <w:sz w:val="17"/>
              </w:rPr>
              <w:t>Planned effort</w:t>
            </w:r>
          </w:p>
        </w:tc>
        <w:tc>
          <w:tcPr>
            <w:tcW w:type="dxa" w:w="4997"/>
            <w:tcMar>
              <w:top w:w="90" w:type="dxa"/>
              <w:start w:w="100" w:type="dxa"/>
              <w:bottom w:w="90" w:type="dxa"/>
              <w:end w:w="100" w:type="dxa"/>
            </w:tcMar>
            <w:vAlign w:val="top"/>
          </w:tcPr>
          <w:p>
            <w:pPr>
              <w:spacing w:after="0" w:line="240" w:lineRule="auto"/>
            </w:pPr>
            <w:r>
              <w:rPr>
                <w:sz w:val="17"/>
              </w:rPr>
              <w:t>34 hours, with the modeling block reallocated if its readiness gate fails.</w:t>
            </w:r>
          </w:p>
        </w:tc>
      </w:tr>
    </w:tbl>
    <w:p>
      <w:pPr>
        <w:spacing w:after="20"/>
      </w:pPr>
    </w:p>
    <w:tbl>
      <w:tblPr>
        <w:tblW w:type="auto" w:w="0"/>
        <w:jc w:val="center"/>
        <w:tblLook w:firstColumn="1" w:firstRow="1" w:lastColumn="0" w:lastRow="0" w:noHBand="0" w:noVBand="1" w:val="04A0"/>
      </w:tblPr>
      <w:tblGrid>
        <w:gridCol w:w="9994"/>
      </w:tblGrid>
      <w:tr>
        <w:tc>
          <w:tcPr>
            <w:tcW w:type="dxa" w:w="9994"/>
            <w:shd w:fill="E8F4F3"/>
            <w:tcMar>
              <w:top w:w="150" w:type="dxa"/>
              <w:start w:w="180" w:type="dxa"/>
              <w:bottom w:w="150" w:type="dxa"/>
              <w:end w:w="180" w:type="dxa"/>
            </w:tcMar>
          </w:tcPr>
          <w:p>
            <w:pPr>
              <w:spacing w:after="0"/>
            </w:pPr>
            <w:r>
              <w:rPr>
                <w:b/>
                <w:color w:val="138A8A"/>
              </w:rPr>
              <w:t xml:space="preserve">READ THIS FIRST  </w:t>
            </w:r>
            <w:r>
              <w:t>All proposed windows, variables, methods, and interventions require sponsor and data-owner approval. Do not present them as measured results.</w:t>
            </w:r>
          </w:p>
        </w:tc>
      </w:tr>
    </w:tbl>
    <w:p>
      <w:pPr>
        <w:spacing w:after="0"/>
      </w:pPr>
    </w:p>
    <w:p>
      <w:pPr>
        <w:pStyle w:val="Heading1"/>
        <w:keepNext/>
      </w:pPr>
      <w:r>
        <w:t>2. Industry context and business relevance</w:t>
      </w:r>
    </w:p>
    <w:p>
      <w:pPr>
        <w:spacing w:after="120" w:line="259" w:lineRule="auto"/>
      </w:pPr>
      <w:r>
        <w:t>The selected topic is relevant because beauty and wellness span routine purchases, replenishment, discovery, and service experiences. McKinsey's 2026 beauty article describes shifting categories, channels, and shopping behavior and states that it expects the global beauty market to grow by 5 percent annually through 2030 [1]. Its 2025 beauty report also discusses value scrutiny and projects online channels to approach one-third of global beauty sales by 2030, from 26 percent in 2024 [2]. These are McKinsey's attributed market outlooks, not forecasts produced by this project.</w:t>
      </w:r>
    </w:p>
    <w:p>
      <w:pPr>
        <w:spacing w:after="120" w:line="259" w:lineRule="auto"/>
      </w:pPr>
      <w:r>
        <w:t>McKinsey's 2025 Future of Wellness article describes a survey of more than 9,000 consumers across China, Germany, the United Kingdom, and the United States, covering six dimensions: health, sleep, nutrition, fitness, appearance, and mindfulness [3]. This illustrates the breadth of the consumer research context; it does not measure the customers of a specific business. Market-level context motivates investigation, but retention opportunity must be established in the approved business data.</w:t>
      </w:r>
    </w:p>
    <w:tbl>
      <w:tblPr>
        <w:tblW w:type="auto" w:w="0"/>
        <w:jc w:val="center"/>
        <w:tblLook w:firstColumn="1" w:firstRow="1" w:lastColumn="0" w:lastRow="0" w:noHBand="0" w:noVBand="1" w:val="04A0"/>
      </w:tblPr>
      <w:tblGrid>
        <w:gridCol w:w="9994"/>
      </w:tblGrid>
      <w:tr>
        <w:tc>
          <w:tcPr>
            <w:tcW w:type="dxa" w:w="9994"/>
            <w:shd w:fill="E8F4F3"/>
            <w:tcMar>
              <w:top w:w="150" w:type="dxa"/>
              <w:start w:w="180" w:type="dxa"/>
              <w:bottom w:w="150" w:type="dxa"/>
              <w:end w:w="180" w:type="dxa"/>
            </w:tcMar>
          </w:tcPr>
          <w:p>
            <w:pPr>
              <w:spacing w:after="0"/>
            </w:pPr>
            <w:r>
              <w:rPr>
                <w:b/>
                <w:color w:val="138A8A"/>
              </w:rPr>
              <w:t xml:space="preserve">BUSINESS INTERPRETATION  </w:t>
            </w:r>
            <w:r>
              <w:t>Market growth does not guarantee customer retention, profitable repeat purchases, or campaign lift for an individual organization.</w:t>
            </w:r>
          </w:p>
        </w:tc>
      </w:tr>
    </w:tbl>
    <w:p>
      <w:pPr>
        <w:spacing w:after="0"/>
      </w:pPr>
    </w:p>
    <w:p>
      <w:pPr>
        <w:pStyle w:val="Heading2"/>
        <w:keepNext/>
      </w:pPr>
      <w:r>
        <w:t>2.1 Academic research and methodological rationale</w:t>
      </w:r>
    </w:p>
    <w:p>
      <w:pPr>
        <w:spacing w:after="120" w:line="259" w:lineRule="auto"/>
      </w:pPr>
      <w:r>
        <w:t>The industry reports establish context; academic journal and customer-analytics research informs how this proposal defines and tests customer behavior. These studies do not provide results for the business under study.</w:t>
      </w:r>
    </w:p>
    <w:p>
      <w:pPr>
        <w:pStyle w:val="Caption"/>
        <w:keepNext/>
        <w:spacing w:before="60" w:after="60"/>
      </w:pPr>
      <w:r>
        <w:t>Table 2. Research / Contribution to this proposal / Transfer boundary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vAlign w:val="center"/>
          </w:tcPr>
          <w:p>
            <w:pPr>
              <w:spacing w:after="0"/>
            </w:pPr>
            <w:r>
              <w:rPr>
                <w:b/>
                <w:color w:val="FFFFFF"/>
                <w:sz w:val="15"/>
              </w:rPr>
              <w:t>Research</w:t>
            </w:r>
          </w:p>
        </w:tc>
        <w:tc>
          <w:tcPr>
            <w:tcW w:type="dxa" w:w="3331"/>
            <w:shd w:fill="17324D"/>
            <w:tcMar>
              <w:top w:w="90" w:type="dxa"/>
              <w:start w:w="100" w:type="dxa"/>
              <w:bottom w:w="90" w:type="dxa"/>
              <w:end w:w="100" w:type="dxa"/>
            </w:tcMar>
            <w:vAlign w:val="center"/>
          </w:tcPr>
          <w:p>
            <w:pPr>
              <w:spacing w:after="0"/>
            </w:pPr>
            <w:r>
              <w:rPr>
                <w:b/>
                <w:color w:val="FFFFFF"/>
                <w:sz w:val="15"/>
              </w:rPr>
              <w:t>Contribution to this proposal</w:t>
            </w:r>
          </w:p>
        </w:tc>
        <w:tc>
          <w:tcPr>
            <w:tcW w:type="dxa" w:w="3331"/>
            <w:shd w:fill="17324D"/>
            <w:tcMar>
              <w:top w:w="90" w:type="dxa"/>
              <w:start w:w="100" w:type="dxa"/>
              <w:bottom w:w="90" w:type="dxa"/>
              <w:end w:w="100" w:type="dxa"/>
            </w:tcMar>
            <w:vAlign w:val="center"/>
          </w:tcPr>
          <w:p>
            <w:pPr>
              <w:spacing w:after="0"/>
            </w:pPr>
            <w:r>
              <w:rPr>
                <w:b/>
                <w:color w:val="FFFFFF"/>
                <w:sz w:val="15"/>
              </w:rPr>
              <w:t>Transfer boundary</w:t>
            </w:r>
          </w:p>
        </w:tc>
      </w:tr>
      <w:tr>
        <w:tc>
          <w:tcPr>
            <w:tcW w:type="dxa" w:w="3331"/>
            <w:tcMar>
              <w:top w:w="90" w:type="dxa"/>
              <w:start w:w="100" w:type="dxa"/>
              <w:bottom w:w="90" w:type="dxa"/>
              <w:end w:w="100" w:type="dxa"/>
            </w:tcMar>
            <w:vAlign w:val="top"/>
          </w:tcPr>
          <w:p>
            <w:pPr>
              <w:spacing w:after="0" w:line="240" w:lineRule="auto"/>
            </w:pPr>
            <w:r>
              <w:rPr>
                <w:sz w:val="15"/>
              </w:rPr>
              <w:t>Perret &amp; Schwientek (2025), Digital [4]</w:t>
            </w:r>
          </w:p>
        </w:tc>
        <w:tc>
          <w:tcPr>
            <w:tcW w:type="dxa" w:w="3331"/>
            <w:tcMar>
              <w:top w:w="90" w:type="dxa"/>
              <w:start w:w="100" w:type="dxa"/>
              <w:bottom w:w="90" w:type="dxa"/>
              <w:end w:w="100" w:type="dxa"/>
            </w:tcMar>
            <w:vAlign w:val="top"/>
          </w:tcPr>
          <w:p>
            <w:pPr>
              <w:spacing w:after="0" w:line="240" w:lineRule="auto"/>
            </w:pPr>
            <w:r>
              <w:rPr>
                <w:sz w:val="15"/>
              </w:rPr>
              <w:t>Beauty-specific online-survey research on AR/AI cosmetics connects experience and satisfaction concepts with purchase, advocacy, and repurchase intentions.</w:t>
            </w:r>
          </w:p>
        </w:tc>
        <w:tc>
          <w:tcPr>
            <w:tcW w:type="dxa" w:w="3331"/>
            <w:tcMar>
              <w:top w:w="90" w:type="dxa"/>
              <w:start w:w="100" w:type="dxa"/>
              <w:bottom w:w="90" w:type="dxa"/>
              <w:end w:w="100" w:type="dxa"/>
            </w:tcMar>
            <w:vAlign w:val="top"/>
          </w:tcPr>
          <w:p>
            <w:pPr>
              <w:spacing w:after="0" w:line="240" w:lineRule="auto"/>
            </w:pPr>
            <w:r>
              <w:rPr>
                <w:sz w:val="15"/>
              </w:rPr>
              <w:t>Narrow beauty-tech context; intentions are not observed repeat transactions or causal intervention effects. Review full methods before relying on detailed findings.</w:t>
            </w:r>
          </w:p>
        </w:tc>
      </w:tr>
      <w:tr>
        <w:tc>
          <w:tcPr>
            <w:tcW w:type="dxa" w:w="3331"/>
            <w:shd w:fill="F3F5F7"/>
            <w:tcMar>
              <w:top w:w="90" w:type="dxa"/>
              <w:start w:w="100" w:type="dxa"/>
              <w:bottom w:w="90" w:type="dxa"/>
              <w:end w:w="100" w:type="dxa"/>
            </w:tcMar>
            <w:vAlign w:val="top"/>
          </w:tcPr>
          <w:p>
            <w:pPr>
              <w:spacing w:after="0" w:line="240" w:lineRule="auto"/>
            </w:pPr>
            <w:r>
              <w:rPr>
                <w:sz w:val="15"/>
              </w:rPr>
              <w:t>Fader, Hardie &amp; Lee (2005), Journal of Marketing Research [5]</w:t>
            </w:r>
          </w:p>
        </w:tc>
        <w:tc>
          <w:tcPr>
            <w:tcW w:type="dxa" w:w="3331"/>
            <w:shd w:fill="F3F5F7"/>
            <w:tcMar>
              <w:top w:w="90" w:type="dxa"/>
              <w:start w:w="100" w:type="dxa"/>
              <w:bottom w:w="90" w:type="dxa"/>
              <w:end w:w="100" w:type="dxa"/>
            </w:tcMar>
            <w:vAlign w:val="top"/>
          </w:tcPr>
          <w:p>
            <w:pPr>
              <w:spacing w:after="0" w:line="240" w:lineRule="auto"/>
            </w:pPr>
            <w:r>
              <w:rPr>
                <w:sz w:val="15"/>
              </w:rPr>
              <w:t>Formal RFM/customer lifetime value model with holdout tests; motivates RFM candidate features and out-of-sample validation.</w:t>
            </w:r>
          </w:p>
        </w:tc>
        <w:tc>
          <w:tcPr>
            <w:tcW w:type="dxa" w:w="3331"/>
            <w:shd w:fill="F3F5F7"/>
            <w:tcMar>
              <w:top w:w="90" w:type="dxa"/>
              <w:start w:w="100" w:type="dxa"/>
              <w:bottom w:w="90" w:type="dxa"/>
              <w:end w:w="100" w:type="dxa"/>
            </w:tcMar>
            <w:vAlign w:val="top"/>
          </w:tcPr>
          <w:p>
            <w:pPr>
              <w:spacing w:after="0" w:line="240" w:lineRule="auto"/>
            </w:pPr>
            <w:r>
              <w:rPr>
                <w:sz w:val="15"/>
              </w:rPr>
              <w:t>Applied to online music customers; assumptions must be checked in beauty/wellness data.</w:t>
            </w:r>
          </w:p>
        </w:tc>
      </w:tr>
      <w:tr>
        <w:tc>
          <w:tcPr>
            <w:tcW w:type="dxa" w:w="3331"/>
            <w:tcMar>
              <w:top w:w="90" w:type="dxa"/>
              <w:start w:w="100" w:type="dxa"/>
              <w:bottom w:w="90" w:type="dxa"/>
              <w:end w:w="100" w:type="dxa"/>
            </w:tcMar>
            <w:vAlign w:val="top"/>
          </w:tcPr>
          <w:p>
            <w:pPr>
              <w:spacing w:after="0" w:line="240" w:lineRule="auto"/>
            </w:pPr>
            <w:r>
              <w:rPr>
                <w:sz w:val="15"/>
              </w:rPr>
              <w:t>Fader, Hardie &amp; Shang (2010), Marketing Science [6]</w:t>
            </w:r>
          </w:p>
        </w:tc>
        <w:tc>
          <w:tcPr>
            <w:tcW w:type="dxa" w:w="3331"/>
            <w:tcMar>
              <w:top w:w="90" w:type="dxa"/>
              <w:start w:w="100" w:type="dxa"/>
              <w:bottom w:w="90" w:type="dxa"/>
              <w:end w:w="100" w:type="dxa"/>
            </w:tcMar>
            <w:vAlign w:val="top"/>
          </w:tcPr>
          <w:p>
            <w:pPr>
              <w:spacing w:after="0" w:line="240" w:lineRule="auto"/>
            </w:pPr>
            <w:r>
              <w:rPr>
                <w:sz w:val="15"/>
              </w:rPr>
              <w:t>Discrete-time model of noncontractual repeat behavior and latent dropout; motivates distinguishing observed inactivity from confirmed churn.</w:t>
            </w:r>
          </w:p>
        </w:tc>
        <w:tc>
          <w:tcPr>
            <w:tcW w:type="dxa" w:w="3331"/>
            <w:tcMar>
              <w:top w:w="90" w:type="dxa"/>
              <w:start w:w="100" w:type="dxa"/>
              <w:bottom w:w="90" w:type="dxa"/>
              <w:end w:w="100" w:type="dxa"/>
            </w:tcMar>
            <w:vAlign w:val="top"/>
          </w:tcPr>
          <w:p>
            <w:pPr>
              <w:spacing w:after="0" w:line="240" w:lineRule="auto"/>
            </w:pPr>
            <w:r>
              <w:rPr>
                <w:sz w:val="15"/>
              </w:rPr>
              <w:t>Applied to nonprofit donations; not a beauty retail validation, and no such model is fitted here.</w:t>
            </w:r>
          </w:p>
        </w:tc>
      </w:tr>
      <w:tr>
        <w:tc>
          <w:tcPr>
            <w:tcW w:type="dxa" w:w="3331"/>
            <w:shd w:fill="F3F5F7"/>
            <w:tcMar>
              <w:top w:w="90" w:type="dxa"/>
              <w:start w:w="100" w:type="dxa"/>
              <w:bottom w:w="90" w:type="dxa"/>
              <w:end w:w="100" w:type="dxa"/>
            </w:tcMar>
            <w:vAlign w:val="top"/>
          </w:tcPr>
          <w:p>
            <w:pPr>
              <w:spacing w:after="0" w:line="240" w:lineRule="auto"/>
            </w:pPr>
            <w:r>
              <w:rPr>
                <w:sz w:val="15"/>
              </w:rPr>
              <w:t>Gupta, Lehmann &amp; Stuart (2004), Journal of Marketing Research [7]</w:t>
            </w:r>
          </w:p>
        </w:tc>
        <w:tc>
          <w:tcPr>
            <w:tcW w:type="dxa" w:w="3331"/>
            <w:shd w:fill="F3F5F7"/>
            <w:tcMar>
              <w:top w:w="90" w:type="dxa"/>
              <w:start w:w="100" w:type="dxa"/>
              <w:bottom w:w="90" w:type="dxa"/>
              <w:end w:w="100" w:type="dxa"/>
            </w:tcMar>
            <w:vAlign w:val="top"/>
          </w:tcPr>
          <w:p>
            <w:pPr>
              <w:spacing w:after="0" w:line="240" w:lineRule="auto"/>
            </w:pPr>
            <w:r>
              <w:rPr>
                <w:sz w:val="15"/>
              </w:rPr>
              <w:t>Frames customer value using expected discounted future earnings; motivates linking retention outcomes to actual margin and cost.</w:t>
            </w:r>
          </w:p>
        </w:tc>
        <w:tc>
          <w:tcPr>
            <w:tcW w:type="dxa" w:w="3331"/>
            <w:shd w:fill="F3F5F7"/>
            <w:tcMar>
              <w:top w:w="90" w:type="dxa"/>
              <w:start w:w="100" w:type="dxa"/>
              <w:bottom w:w="90" w:type="dxa"/>
              <w:end w:w="100" w:type="dxa"/>
            </w:tcMar>
            <w:vAlign w:val="top"/>
          </w:tcPr>
          <w:p>
            <w:pPr>
              <w:spacing w:after="0" w:line="240" w:lineRule="auto"/>
            </w:pPr>
            <w:r>
              <w:rPr>
                <w:sz w:val="15"/>
              </w:rPr>
              <w:t>Illustrative firm-valuation evidence is context-specific; no reported percentage effect is adopted as a target or forecast.</w:t>
            </w:r>
          </w:p>
        </w:tc>
      </w:tr>
    </w:tbl>
    <w:p>
      <w:pPr>
        <w:spacing w:after="20"/>
      </w:pPr>
    </w:p>
    <w:p>
      <w:pPr>
        <w:spacing w:after="120" w:line="259" w:lineRule="auto"/>
      </w:pPr>
      <w:r>
        <w:t>Research synthesis: use market evidence to frame the question, beauty-specific survey research to motivate customer-experience constructs, and marketing-science methods to guide behavioral measures and validation. The primary outcomes remain approved customer transactions, not survey intention or external model estimates. Bibliographic records, abstract-level verification, and transfer limits are documented in the source log.</w:t>
      </w:r>
    </w:p>
    <w:p>
      <w:r>
        <w:br w:type="page"/>
      </w:r>
    </w:p>
    <w:p>
      <w:pPr>
        <w:pStyle w:val="Heading1"/>
        <w:keepNext/>
      </w:pPr>
      <w:r>
        <w:t>3. Business problem, scope, and objectives</w:t>
      </w:r>
    </w:p>
    <w:p>
      <w:pPr>
        <w:spacing w:after="120" w:line="259" w:lineRule="auto"/>
      </w:pPr>
      <w:r>
        <w:t>Business problem: a beauty and wellness retailer lacks a systematic, evidence-based way to identify customer purchasing patterns and understand which observable factors may be associated with repeat purchases and retention. The decision challenge is how to improve understanding of customer repeat behavior to support more effective marketing choices, without assuming a retention problem has already been demonstrated.</w:t>
      </w:r>
    </w:p>
    <w:p>
      <w:pPr>
        <w:spacing w:after="120" w:line="259" w:lineRule="auto"/>
      </w:pPr>
      <w:r>
        <w:t>Data science problem: given approved customer transaction and engagement data, how can purchase patterns be described and which available customer or transaction characteristics are associated with a predefined future repeat-purchase outcome? Unit of analysis: one pseudonymous customer at an agreed prediction/measurement cutoff; transaction lines are first aggregated to distinct qualifying orders. Where no usable customer key exists, the question must be narrowed to order-level descriptive analysis rather than pretending repeat behavior is observable.</w:t>
      </w:r>
    </w:p>
    <w:p>
      <w:pPr>
        <w:pStyle w:val="Heading2"/>
        <w:keepNext/>
      </w:pPr>
      <w:r>
        <w:t>3.1 Objectives</w:t>
      </w:r>
    </w:p>
    <w:p>
      <w:pPr>
        <w:pStyle w:val="ListNumber"/>
        <w:spacing w:after="60"/>
      </w:pPr>
      <w:r>
        <w:t>Synthesize current beauty and wellness industry context and relevant peer-reviewed marketing/customer-analytics research, while stating transfer limits.</w:t>
      </w:r>
    </w:p>
    <w:p>
      <w:pPr>
        <w:pStyle w:val="ListNumber"/>
        <w:spacing w:after="60"/>
      </w:pPr>
      <w:r>
        <w:t>Define measurable purchase, repeat-purchase, customer-experience, and business-value outcomes before requesting data.</w:t>
      </w:r>
    </w:p>
    <w:p>
      <w:pPr>
        <w:pStyle w:val="ListNumber"/>
        <w:spacing w:after="60"/>
      </w:pPr>
      <w:r>
        <w:t>Identify feasible internal and public data sources and define a privacy-aware variable dictionary.</w:t>
      </w:r>
    </w:p>
    <w:p>
      <w:pPr>
        <w:pStyle w:val="ListNumber"/>
        <w:spacing w:after="60"/>
      </w:pPr>
      <w:r>
        <w:t>Formulate research questions and testable null/alternative hypotheses; keep them explicitly untested.</w:t>
      </w:r>
    </w:p>
    <w:p>
      <w:pPr>
        <w:pStyle w:val="ListNumber"/>
        <w:spacing w:after="60"/>
      </w:pPr>
      <w:r>
        <w:t>Design a reproducible data-quality assessment and exploratory data analysis with denominators and visualization choices.</w:t>
      </w:r>
    </w:p>
    <w:p>
      <w:pPr>
        <w:pStyle w:val="ListNumber"/>
        <w:spacing w:after="60"/>
      </w:pPr>
      <w:r>
        <w:t>Select appropriate statistical tests and conditional future segmentation/predictive methods, including assumptions, leakage safeguards, and evaluation criteria.</w:t>
      </w:r>
    </w:p>
    <w:p>
      <w:pPr>
        <w:pStyle w:val="ListNumber"/>
        <w:spacing w:after="60"/>
      </w:pPr>
      <w:r>
        <w:t>Translate validated evidence into responsible, measurable marketing experiments and a 30–35-hour work plan.</w:t>
      </w:r>
    </w:p>
    <w:p>
      <w:pPr>
        <w:pStyle w:val="Heading2"/>
        <w:keepNext/>
      </w:pPr>
      <w:r>
        <w:t>3.2 Scope and exclusions</w:t>
      </w:r>
    </w:p>
    <w:p>
      <w:pPr>
        <w:pStyle w:val="Caption"/>
        <w:keepNext/>
        <w:spacing w:before="60" w:after="60"/>
      </w:pPr>
      <w:r>
        <w:t>Table 3. In scope / Out of scope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vAlign w:val="center"/>
          </w:tcPr>
          <w:p>
            <w:pPr>
              <w:spacing w:after="0"/>
            </w:pPr>
            <w:r>
              <w:rPr>
                <w:b/>
                <w:color w:val="FFFFFF"/>
                <w:sz w:val="17"/>
              </w:rPr>
              <w:t>In scope</w:t>
            </w:r>
          </w:p>
        </w:tc>
        <w:tc>
          <w:tcPr>
            <w:tcW w:type="dxa" w:w="4997"/>
            <w:shd w:fill="17324D"/>
            <w:tcMar>
              <w:top w:w="90" w:type="dxa"/>
              <w:start w:w="100" w:type="dxa"/>
              <w:bottom w:w="90" w:type="dxa"/>
              <w:end w:w="100" w:type="dxa"/>
            </w:tcMar>
            <w:vAlign w:val="center"/>
          </w:tcPr>
          <w:p>
            <w:pPr>
              <w:spacing w:after="0"/>
            </w:pPr>
            <w:r>
              <w:rPr>
                <w:b/>
                <w:color w:val="FFFFFF"/>
                <w:sz w:val="17"/>
              </w:rPr>
              <w:t>Out of scope</w:t>
            </w:r>
          </w:p>
        </w:tc>
      </w:tr>
      <w:tr>
        <w:tc>
          <w:tcPr>
            <w:tcW w:type="dxa" w:w="4997"/>
            <w:tcMar>
              <w:top w:w="90" w:type="dxa"/>
              <w:start w:w="100" w:type="dxa"/>
              <w:bottom w:w="90" w:type="dxa"/>
              <w:end w:w="100" w:type="dxa"/>
            </w:tcMar>
            <w:vAlign w:val="top"/>
          </w:tcPr>
          <w:p>
            <w:pPr>
              <w:spacing w:after="0" w:line="240" w:lineRule="auto"/>
            </w:pPr>
            <w:r>
              <w:rPr>
                <w:sz w:val="17"/>
              </w:rPr>
              <w:t>Approved transaction and item fields, pseudonymous linkage, category/channel, purchase cohorts, repeat behavior.</w:t>
            </w:r>
          </w:p>
        </w:tc>
        <w:tc>
          <w:tcPr>
            <w:tcW w:type="dxa" w:w="4997"/>
            <w:tcMar>
              <w:top w:w="90" w:type="dxa"/>
              <w:start w:w="100" w:type="dxa"/>
              <w:bottom w:w="90" w:type="dxa"/>
              <w:end w:w="100" w:type="dxa"/>
            </w:tcMar>
            <w:vAlign w:val="top"/>
          </w:tcPr>
          <w:p>
            <w:pPr>
              <w:spacing w:after="0" w:line="240" w:lineRule="auto"/>
            </w:pPr>
            <w:r>
              <w:rPr>
                <w:sz w:val="17"/>
              </w:rPr>
              <w:t>Claims about any brand's actual performance before analysis; invented findings or survey results.</w:t>
            </w:r>
          </w:p>
        </w:tc>
      </w:tr>
      <w:tr>
        <w:tc>
          <w:tcPr>
            <w:tcW w:type="dxa" w:w="4997"/>
            <w:shd w:fill="F3F5F7"/>
            <w:tcMar>
              <w:top w:w="90" w:type="dxa"/>
              <w:start w:w="100" w:type="dxa"/>
              <w:bottom w:w="90" w:type="dxa"/>
              <w:end w:w="100" w:type="dxa"/>
            </w:tcMar>
            <w:vAlign w:val="top"/>
          </w:tcPr>
          <w:p>
            <w:pPr>
              <w:spacing w:after="0" w:line="240" w:lineRule="auto"/>
            </w:pPr>
            <w:r>
              <w:rPr>
                <w:sz w:val="17"/>
              </w:rPr>
              <w:t>Descriptive cohort analysis and optional leakage-safe prediction if readiness criteria are met.</w:t>
            </w:r>
          </w:p>
        </w:tc>
        <w:tc>
          <w:tcPr>
            <w:tcW w:type="dxa" w:w="4997"/>
            <w:shd w:fill="F3F5F7"/>
            <w:tcMar>
              <w:top w:w="90" w:type="dxa"/>
              <w:start w:w="100" w:type="dxa"/>
              <w:bottom w:w="90" w:type="dxa"/>
              <w:end w:w="100" w:type="dxa"/>
            </w:tcMar>
            <w:vAlign w:val="top"/>
          </w:tcPr>
          <w:p>
            <w:pPr>
              <w:spacing w:after="0" w:line="240" w:lineRule="auto"/>
            </w:pPr>
            <w:r>
              <w:rPr>
                <w:sz w:val="17"/>
              </w:rPr>
              <w:t>Production deployment, individual automated decisions, or causal attribution from correlation.</w:t>
            </w:r>
          </w:p>
        </w:tc>
      </w:tr>
      <w:tr>
        <w:tc>
          <w:tcPr>
            <w:tcW w:type="dxa" w:w="4997"/>
            <w:tcMar>
              <w:top w:w="90" w:type="dxa"/>
              <w:start w:w="100" w:type="dxa"/>
              <w:bottom w:w="90" w:type="dxa"/>
              <w:end w:w="100" w:type="dxa"/>
            </w:tcMar>
            <w:vAlign w:val="top"/>
          </w:tcPr>
          <w:p>
            <w:pPr>
              <w:spacing w:after="0" w:line="240" w:lineRule="auto"/>
            </w:pPr>
            <w:r>
              <w:rPr>
                <w:sz w:val="17"/>
              </w:rPr>
              <w:t>Consent-aware campaign logs only for a separately scoped evaluation.</w:t>
            </w:r>
          </w:p>
        </w:tc>
        <w:tc>
          <w:tcPr>
            <w:tcW w:type="dxa" w:w="4997"/>
            <w:tcMar>
              <w:top w:w="90" w:type="dxa"/>
              <w:start w:w="100" w:type="dxa"/>
              <w:bottom w:w="90" w:type="dxa"/>
              <w:end w:w="100" w:type="dxa"/>
            </w:tcMar>
            <w:vAlign w:val="top"/>
          </w:tcPr>
          <w:p>
            <w:pPr>
              <w:spacing w:after="0" w:line="240" w:lineRule="auto"/>
            </w:pPr>
            <w:r>
              <w:rPr>
                <w:sz w:val="17"/>
              </w:rPr>
              <w:t>Sensitive health/skin/treatment fields or inferred traits by default.</w:t>
            </w:r>
          </w:p>
        </w:tc>
      </w:tr>
    </w:tbl>
    <w:p>
      <w:pPr>
        <w:spacing w:after="20"/>
      </w:pPr>
    </w:p>
    <w:p>
      <w:pPr>
        <w:spacing w:after="120" w:line="259" w:lineRule="auto"/>
      </w:pPr>
      <w:r>
        <w:t>The business sponsor and data owner must settle geography, channels, brands, observation dates, test-order exclusions, order status, and financial definitions before extraction. If the historical record begins after customer acquisition, first observed purchase may not equal true first purchase.</w:t>
      </w:r>
    </w:p>
    <w:p>
      <w:pPr>
        <w:pStyle w:val="Heading1"/>
        <w:keepNext/>
      </w:pPr>
      <w:r>
        <w:t>4. Research questions and untested hypotheses</w:t>
      </w:r>
    </w:p>
    <w:p>
      <w:pPr>
        <w:pStyle w:val="Heading2"/>
        <w:keepNext/>
      </w:pPr>
      <w:r>
        <w:t>4.1 Research questions</w:t>
      </w:r>
    </w:p>
    <w:p>
      <w:pPr>
        <w:pStyle w:val="Caption"/>
        <w:keepNext/>
        <w:spacing w:before="60" w:after="60"/>
      </w:pPr>
      <w:r>
        <w:t>Table 4. Question / Variables / Proposed analysis / Expected output / Business relevance</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17324D"/>
            <w:tcMar>
              <w:top w:w="90" w:type="dxa"/>
              <w:start w:w="100" w:type="dxa"/>
              <w:bottom w:w="90" w:type="dxa"/>
              <w:end w:w="100" w:type="dxa"/>
            </w:tcMar>
            <w:vAlign w:val="center"/>
          </w:tcPr>
          <w:p>
            <w:pPr>
              <w:spacing w:after="0"/>
            </w:pPr>
            <w:r>
              <w:rPr>
                <w:b/>
                <w:color w:val="FFFFFF"/>
                <w:sz w:val="14"/>
              </w:rPr>
              <w:t>Question</w:t>
            </w:r>
          </w:p>
        </w:tc>
        <w:tc>
          <w:tcPr>
            <w:tcW w:type="dxa" w:w="1999"/>
            <w:shd w:fill="17324D"/>
            <w:tcMar>
              <w:top w:w="90" w:type="dxa"/>
              <w:start w:w="100" w:type="dxa"/>
              <w:bottom w:w="90" w:type="dxa"/>
              <w:end w:w="100" w:type="dxa"/>
            </w:tcMar>
            <w:vAlign w:val="center"/>
          </w:tcPr>
          <w:p>
            <w:pPr>
              <w:spacing w:after="0"/>
            </w:pPr>
            <w:r>
              <w:rPr>
                <w:b/>
                <w:color w:val="FFFFFF"/>
                <w:sz w:val="14"/>
              </w:rPr>
              <w:t>Variables</w:t>
            </w:r>
          </w:p>
        </w:tc>
        <w:tc>
          <w:tcPr>
            <w:tcW w:type="dxa" w:w="1999"/>
            <w:shd w:fill="17324D"/>
            <w:tcMar>
              <w:top w:w="90" w:type="dxa"/>
              <w:start w:w="100" w:type="dxa"/>
              <w:bottom w:w="90" w:type="dxa"/>
              <w:end w:w="100" w:type="dxa"/>
            </w:tcMar>
            <w:vAlign w:val="center"/>
          </w:tcPr>
          <w:p>
            <w:pPr>
              <w:spacing w:after="0"/>
            </w:pPr>
            <w:r>
              <w:rPr>
                <w:b/>
                <w:color w:val="FFFFFF"/>
                <w:sz w:val="14"/>
              </w:rPr>
              <w:t>Proposed analysis</w:t>
            </w:r>
          </w:p>
        </w:tc>
        <w:tc>
          <w:tcPr>
            <w:tcW w:type="dxa" w:w="1999"/>
            <w:shd w:fill="17324D"/>
            <w:tcMar>
              <w:top w:w="90" w:type="dxa"/>
              <w:start w:w="100" w:type="dxa"/>
              <w:bottom w:w="90" w:type="dxa"/>
              <w:end w:w="100" w:type="dxa"/>
            </w:tcMar>
            <w:vAlign w:val="center"/>
          </w:tcPr>
          <w:p>
            <w:pPr>
              <w:spacing w:after="0"/>
            </w:pPr>
            <w:r>
              <w:rPr>
                <w:b/>
                <w:color w:val="FFFFFF"/>
                <w:sz w:val="14"/>
              </w:rPr>
              <w:t>Expected output</w:t>
            </w:r>
          </w:p>
        </w:tc>
        <w:tc>
          <w:tcPr>
            <w:tcW w:type="dxa" w:w="1999"/>
            <w:shd w:fill="17324D"/>
            <w:tcMar>
              <w:top w:w="90" w:type="dxa"/>
              <w:start w:w="100" w:type="dxa"/>
              <w:bottom w:w="90" w:type="dxa"/>
              <w:end w:w="100" w:type="dxa"/>
            </w:tcMar>
            <w:vAlign w:val="center"/>
          </w:tcPr>
          <w:p>
            <w:pPr>
              <w:spacing w:after="0"/>
            </w:pPr>
            <w:r>
              <w:rPr>
                <w:b/>
                <w:color w:val="FFFFFF"/>
                <w:sz w:val="14"/>
              </w:rPr>
              <w:t>Business relevance</w:t>
            </w:r>
          </w:p>
        </w:tc>
      </w:tr>
      <w:tr>
        <w:tc>
          <w:tcPr>
            <w:tcW w:type="dxa" w:w="1999"/>
            <w:tcMar>
              <w:top w:w="90" w:type="dxa"/>
              <w:start w:w="100" w:type="dxa"/>
              <w:bottom w:w="90" w:type="dxa"/>
              <w:end w:w="100" w:type="dxa"/>
            </w:tcMar>
            <w:vAlign w:val="top"/>
          </w:tcPr>
          <w:p>
            <w:pPr>
              <w:spacing w:after="0" w:line="240" w:lineRule="auto"/>
            </w:pPr>
            <w:r>
              <w:rPr>
                <w:sz w:val="14"/>
              </w:rPr>
              <w:t>RQ1. Which product categories contribute most to repeat purchasing?</w:t>
            </w:r>
          </w:p>
        </w:tc>
        <w:tc>
          <w:tcPr>
            <w:tcW w:type="dxa" w:w="1999"/>
            <w:tcMar>
              <w:top w:w="90" w:type="dxa"/>
              <w:start w:w="100" w:type="dxa"/>
              <w:bottom w:w="90" w:type="dxa"/>
              <w:end w:w="100" w:type="dxa"/>
            </w:tcMar>
            <w:vAlign w:val="top"/>
          </w:tcPr>
          <w:p>
            <w:pPr>
              <w:spacing w:after="0" w:line="240" w:lineRule="auto"/>
            </w:pPr>
            <w:r>
              <w:rPr>
                <w:sz w:val="14"/>
              </w:rPr>
              <w:t>First category; distinct qualifying orders; horizon repeat flag; cohort and complete-follow-up indicator.</w:t>
            </w:r>
          </w:p>
        </w:tc>
        <w:tc>
          <w:tcPr>
            <w:tcW w:type="dxa" w:w="1999"/>
            <w:tcMar>
              <w:top w:w="90" w:type="dxa"/>
              <w:start w:w="100" w:type="dxa"/>
              <w:bottom w:w="90" w:type="dxa"/>
              <w:end w:w="100" w:type="dxa"/>
            </w:tcMar>
            <w:vAlign w:val="top"/>
          </w:tcPr>
          <w:p>
            <w:pPr>
              <w:spacing w:after="0" w:line="240" w:lineRule="auto"/>
            </w:pPr>
            <w:r>
              <w:rPr>
                <w:sz w:val="14"/>
              </w:rPr>
              <w:t>Category-level cohort rates with numerator/denominator and confidence intervals; account for cohort maturity.</w:t>
            </w:r>
          </w:p>
        </w:tc>
        <w:tc>
          <w:tcPr>
            <w:tcW w:type="dxa" w:w="1999"/>
            <w:tcMar>
              <w:top w:w="90" w:type="dxa"/>
              <w:start w:w="100" w:type="dxa"/>
              <w:bottom w:w="90" w:type="dxa"/>
              <w:end w:w="100" w:type="dxa"/>
            </w:tcMar>
            <w:vAlign w:val="top"/>
          </w:tcPr>
          <w:p>
            <w:pPr>
              <w:spacing w:after="0" w:line="240" w:lineRule="auto"/>
            </w:pPr>
            <w:r>
              <w:rPr>
                <w:sz w:val="14"/>
              </w:rPr>
              <w:t>Ranked category table and interval plot, not an unsupported causal ranking.</w:t>
            </w:r>
          </w:p>
        </w:tc>
        <w:tc>
          <w:tcPr>
            <w:tcW w:type="dxa" w:w="1999"/>
            <w:tcMar>
              <w:top w:w="90" w:type="dxa"/>
              <w:start w:w="100" w:type="dxa"/>
              <w:bottom w:w="90" w:type="dxa"/>
              <w:end w:w="100" w:type="dxa"/>
            </w:tcMar>
            <w:vAlign w:val="top"/>
          </w:tcPr>
          <w:p>
            <w:pPr>
              <w:spacing w:after="0" w:line="240" w:lineRule="auto"/>
            </w:pPr>
            <w:r>
              <w:rPr>
                <w:sz w:val="14"/>
              </w:rPr>
              <w:t>Identify categories warranting deeper replenishment/assortment investigation.</w:t>
            </w:r>
          </w:p>
        </w:tc>
      </w:tr>
      <w:tr>
        <w:tc>
          <w:tcPr>
            <w:tcW w:type="dxa" w:w="1999"/>
            <w:shd w:fill="F3F5F7"/>
            <w:tcMar>
              <w:top w:w="90" w:type="dxa"/>
              <w:start w:w="100" w:type="dxa"/>
              <w:bottom w:w="90" w:type="dxa"/>
              <w:end w:w="100" w:type="dxa"/>
            </w:tcMar>
            <w:vAlign w:val="top"/>
          </w:tcPr>
          <w:p>
            <w:pPr>
              <w:spacing w:after="0" w:line="240" w:lineRule="auto"/>
            </w:pPr>
            <w:r>
              <w:rPr>
                <w:sz w:val="14"/>
              </w:rPr>
              <w:t>RQ2. How is purchase recency associated with another purchase?</w:t>
            </w:r>
          </w:p>
        </w:tc>
        <w:tc>
          <w:tcPr>
            <w:tcW w:type="dxa" w:w="1999"/>
            <w:shd w:fill="F3F5F7"/>
            <w:tcMar>
              <w:top w:w="90" w:type="dxa"/>
              <w:start w:w="100" w:type="dxa"/>
              <w:bottom w:w="90" w:type="dxa"/>
              <w:end w:w="100" w:type="dxa"/>
            </w:tcMar>
            <w:vAlign w:val="top"/>
          </w:tcPr>
          <w:p>
            <w:pPr>
              <w:spacing w:after="0" w:line="240" w:lineRule="auto"/>
            </w:pPr>
            <w:r>
              <w:rPr>
                <w:sz w:val="14"/>
              </w:rPr>
              <w:t>Pre-cutoff recency days; future repeat flag; tenure; category/channel covariates.</w:t>
            </w:r>
          </w:p>
        </w:tc>
        <w:tc>
          <w:tcPr>
            <w:tcW w:type="dxa" w:w="1999"/>
            <w:shd w:fill="F3F5F7"/>
            <w:tcMar>
              <w:top w:w="90" w:type="dxa"/>
              <w:start w:w="100" w:type="dxa"/>
              <w:bottom w:w="90" w:type="dxa"/>
              <w:end w:w="100" w:type="dxa"/>
            </w:tcMar>
            <w:vAlign w:val="top"/>
          </w:tcPr>
          <w:p>
            <w:pPr>
              <w:spacing w:after="0" w:line="240" w:lineRule="auto"/>
            </w:pPr>
            <w:r>
              <w:rPr>
                <w:sz w:val="14"/>
              </w:rPr>
              <w:t>Descriptive bins plus logistic regression as an adjusted association; nonlinear check if justified.</w:t>
            </w:r>
          </w:p>
        </w:tc>
        <w:tc>
          <w:tcPr>
            <w:tcW w:type="dxa" w:w="1999"/>
            <w:shd w:fill="F3F5F7"/>
            <w:tcMar>
              <w:top w:w="90" w:type="dxa"/>
              <w:start w:w="100" w:type="dxa"/>
              <w:bottom w:w="90" w:type="dxa"/>
              <w:end w:w="100" w:type="dxa"/>
            </w:tcMar>
            <w:vAlign w:val="top"/>
          </w:tcPr>
          <w:p>
            <w:pPr>
              <w:spacing w:after="0" w:line="240" w:lineRule="auto"/>
            </w:pPr>
            <w:r>
              <w:rPr>
                <w:sz w:val="14"/>
              </w:rPr>
              <w:t>Rate-by-recency plot and adjusted association with interval.</w:t>
            </w:r>
          </w:p>
        </w:tc>
        <w:tc>
          <w:tcPr>
            <w:tcW w:type="dxa" w:w="1999"/>
            <w:shd w:fill="F3F5F7"/>
            <w:tcMar>
              <w:top w:w="90" w:type="dxa"/>
              <w:start w:w="100" w:type="dxa"/>
              <w:bottom w:w="90" w:type="dxa"/>
              <w:end w:w="100" w:type="dxa"/>
            </w:tcMar>
            <w:vAlign w:val="top"/>
          </w:tcPr>
          <w:p>
            <w:pPr>
              <w:spacing w:after="0" w:line="240" w:lineRule="auto"/>
            </w:pPr>
            <w:r>
              <w:rPr>
                <w:sz w:val="14"/>
              </w:rPr>
              <w:t>Inform when to test a permissioned reminder; no causal claim.</w:t>
            </w:r>
          </w:p>
        </w:tc>
      </w:tr>
      <w:tr>
        <w:tc>
          <w:tcPr>
            <w:tcW w:type="dxa" w:w="1999"/>
            <w:tcMar>
              <w:top w:w="90" w:type="dxa"/>
              <w:start w:w="100" w:type="dxa"/>
              <w:bottom w:w="90" w:type="dxa"/>
              <w:end w:w="100" w:type="dxa"/>
            </w:tcMar>
            <w:vAlign w:val="top"/>
          </w:tcPr>
          <w:p>
            <w:pPr>
              <w:spacing w:after="0" w:line="240" w:lineRule="auto"/>
            </w:pPr>
            <w:r>
              <w:rPr>
                <w:sz w:val="14"/>
              </w:rPr>
              <w:t>RQ3. Do frequency and average order value differ across customer segments?</w:t>
            </w:r>
          </w:p>
        </w:tc>
        <w:tc>
          <w:tcPr>
            <w:tcW w:type="dxa" w:w="1999"/>
            <w:tcMar>
              <w:top w:w="90" w:type="dxa"/>
              <w:start w:w="100" w:type="dxa"/>
              <w:bottom w:w="90" w:type="dxa"/>
              <w:end w:w="100" w:type="dxa"/>
            </w:tcMar>
            <w:vAlign w:val="top"/>
          </w:tcPr>
          <w:p>
            <w:pPr>
              <w:spacing w:after="0" w:line="240" w:lineRule="auto"/>
            </w:pPr>
            <w:r>
              <w:rPr>
                <w:sz w:val="14"/>
              </w:rPr>
              <w:t>Pre-cutoff segment; distinct order frequency; future-window AOV; tenure.</w:t>
            </w:r>
          </w:p>
        </w:tc>
        <w:tc>
          <w:tcPr>
            <w:tcW w:type="dxa" w:w="1999"/>
            <w:tcMar>
              <w:top w:w="90" w:type="dxa"/>
              <w:start w:w="100" w:type="dxa"/>
              <w:bottom w:w="90" w:type="dxa"/>
              <w:end w:w="100" w:type="dxa"/>
            </w:tcMar>
            <w:vAlign w:val="top"/>
          </w:tcPr>
          <w:p>
            <w:pPr>
              <w:spacing w:after="0" w:line="240" w:lineRule="auto"/>
            </w:pPr>
            <w:r>
              <w:rPr>
                <w:sz w:val="14"/>
              </w:rPr>
              <w:t>Define segments before outcome window; compare with Welch ANOVA or Kruskal–Wallis/robust bootstrap as assumptions require.</w:t>
            </w:r>
          </w:p>
        </w:tc>
        <w:tc>
          <w:tcPr>
            <w:tcW w:type="dxa" w:w="1999"/>
            <w:tcMar>
              <w:top w:w="90" w:type="dxa"/>
              <w:start w:w="100" w:type="dxa"/>
              <w:bottom w:w="90" w:type="dxa"/>
              <w:end w:w="100" w:type="dxa"/>
            </w:tcMar>
            <w:vAlign w:val="top"/>
          </w:tcPr>
          <w:p>
            <w:pPr>
              <w:spacing w:after="0" w:line="240" w:lineRule="auto"/>
            </w:pPr>
            <w:r>
              <w:rPr>
                <w:sz w:val="14"/>
              </w:rPr>
              <w:t>Segment summary, uncertainty and box/violin plot.</w:t>
            </w:r>
          </w:p>
        </w:tc>
        <w:tc>
          <w:tcPr>
            <w:tcW w:type="dxa" w:w="1999"/>
            <w:tcMar>
              <w:top w:w="90" w:type="dxa"/>
              <w:start w:w="100" w:type="dxa"/>
              <w:bottom w:w="90" w:type="dxa"/>
              <w:end w:w="100" w:type="dxa"/>
            </w:tcMar>
            <w:vAlign w:val="top"/>
          </w:tcPr>
          <w:p>
            <w:pPr>
              <w:spacing w:after="0" w:line="240" w:lineRule="auto"/>
            </w:pPr>
            <w:r>
              <w:rPr>
                <w:sz w:val="14"/>
              </w:rPr>
              <w:t>Compare potential service needs and value without defining segments from the outcome being compared.</w:t>
            </w:r>
          </w:p>
        </w:tc>
      </w:tr>
      <w:tr>
        <w:tc>
          <w:tcPr>
            <w:tcW w:type="dxa" w:w="1999"/>
            <w:shd w:fill="F3F5F7"/>
            <w:tcMar>
              <w:top w:w="90" w:type="dxa"/>
              <w:start w:w="100" w:type="dxa"/>
              <w:bottom w:w="90" w:type="dxa"/>
              <w:end w:w="100" w:type="dxa"/>
            </w:tcMar>
            <w:vAlign w:val="top"/>
          </w:tcPr>
          <w:p>
            <w:pPr>
              <w:spacing w:after="0" w:line="240" w:lineRule="auto"/>
            </w:pPr>
            <w:r>
              <w:rPr>
                <w:sz w:val="14"/>
              </w:rPr>
              <w:t>RQ4. Are discounts associated with order value or repeat purchase?</w:t>
            </w:r>
          </w:p>
        </w:tc>
        <w:tc>
          <w:tcPr>
            <w:tcW w:type="dxa" w:w="1999"/>
            <w:shd w:fill="F3F5F7"/>
            <w:tcMar>
              <w:top w:w="90" w:type="dxa"/>
              <w:start w:w="100" w:type="dxa"/>
              <w:bottom w:w="90" w:type="dxa"/>
              <w:end w:w="100" w:type="dxa"/>
            </w:tcMar>
            <w:vAlign w:val="top"/>
          </w:tcPr>
          <w:p>
            <w:pPr>
              <w:spacing w:after="0" w:line="240" w:lineRule="auto"/>
            </w:pPr>
            <w:r>
              <w:rPr>
                <w:sz w:val="14"/>
              </w:rPr>
              <w:t>Discount amount/rate; net order value; future repeat flag; category, channel, cohort.</w:t>
            </w:r>
          </w:p>
        </w:tc>
        <w:tc>
          <w:tcPr>
            <w:tcW w:type="dxa" w:w="1999"/>
            <w:shd w:fill="F3F5F7"/>
            <w:tcMar>
              <w:top w:w="90" w:type="dxa"/>
              <w:start w:w="100" w:type="dxa"/>
              <w:bottom w:w="90" w:type="dxa"/>
              <w:end w:w="100" w:type="dxa"/>
            </w:tcMar>
            <w:vAlign w:val="top"/>
          </w:tcPr>
          <w:p>
            <w:pPr>
              <w:spacing w:after="0" w:line="240" w:lineRule="auto"/>
            </w:pPr>
            <w:r>
              <w:rPr>
                <w:sz w:val="14"/>
              </w:rPr>
              <w:t>Descriptive cross-tabs and adjusted regression; test interactions only if pre-specified and adequately powered.</w:t>
            </w:r>
          </w:p>
        </w:tc>
        <w:tc>
          <w:tcPr>
            <w:tcW w:type="dxa" w:w="1999"/>
            <w:shd w:fill="F3F5F7"/>
            <w:tcMar>
              <w:top w:w="90" w:type="dxa"/>
              <w:start w:w="100" w:type="dxa"/>
              <w:bottom w:w="90" w:type="dxa"/>
              <w:end w:w="100" w:type="dxa"/>
            </w:tcMar>
            <w:vAlign w:val="top"/>
          </w:tcPr>
          <w:p>
            <w:pPr>
              <w:spacing w:after="0" w:line="240" w:lineRule="auto"/>
            </w:pPr>
            <w:r>
              <w:rPr>
                <w:sz w:val="14"/>
              </w:rPr>
              <w:t>Discount distribution and adjusted associations with intervals.</w:t>
            </w:r>
          </w:p>
        </w:tc>
        <w:tc>
          <w:tcPr>
            <w:tcW w:type="dxa" w:w="1999"/>
            <w:shd w:fill="F3F5F7"/>
            <w:tcMar>
              <w:top w:w="90" w:type="dxa"/>
              <w:start w:w="100" w:type="dxa"/>
              <w:bottom w:w="90" w:type="dxa"/>
              <w:end w:w="100" w:type="dxa"/>
            </w:tcMar>
            <w:vAlign w:val="top"/>
          </w:tcPr>
          <w:p>
            <w:pPr>
              <w:spacing w:after="0" w:line="240" w:lineRule="auto"/>
            </w:pPr>
            <w:r>
              <w:rPr>
                <w:sz w:val="14"/>
              </w:rPr>
              <w:t>Assess whether promotions merit controlled incremental-margin tests; discounts are confounded by selection.</w:t>
            </w:r>
          </w:p>
        </w:tc>
      </w:tr>
      <w:tr>
        <w:tc>
          <w:tcPr>
            <w:tcW w:type="dxa" w:w="1999"/>
            <w:tcMar>
              <w:top w:w="90" w:type="dxa"/>
              <w:start w:w="100" w:type="dxa"/>
              <w:bottom w:w="90" w:type="dxa"/>
              <w:end w:w="100" w:type="dxa"/>
            </w:tcMar>
            <w:vAlign w:val="top"/>
          </w:tcPr>
          <w:p>
            <w:pPr>
              <w:spacing w:after="0" w:line="240" w:lineRule="auto"/>
            </w:pPr>
            <w:r>
              <w:rPr>
                <w:sz w:val="14"/>
              </w:rPr>
              <w:t>RQ5. Where available, are ratings/satisfaction associated with repeat purchase?</w:t>
            </w:r>
          </w:p>
        </w:tc>
        <w:tc>
          <w:tcPr>
            <w:tcW w:type="dxa" w:w="1999"/>
            <w:tcMar>
              <w:top w:w="90" w:type="dxa"/>
              <w:start w:w="100" w:type="dxa"/>
              <w:bottom w:w="90" w:type="dxa"/>
              <w:end w:w="100" w:type="dxa"/>
            </w:tcMar>
            <w:vAlign w:val="top"/>
          </w:tcPr>
          <w:p>
            <w:pPr>
              <w:spacing w:after="0" w:line="240" w:lineRule="auto"/>
            </w:pPr>
            <w:r>
              <w:rPr>
                <w:sz w:val="14"/>
              </w:rPr>
              <w:t>Linked customer rating/satisfaction; response date; future repeat flag; response status.</w:t>
            </w:r>
          </w:p>
        </w:tc>
        <w:tc>
          <w:tcPr>
            <w:tcW w:type="dxa" w:w="1999"/>
            <w:tcMar>
              <w:top w:w="90" w:type="dxa"/>
              <w:start w:w="100" w:type="dxa"/>
              <w:bottom w:w="90" w:type="dxa"/>
              <w:end w:w="100" w:type="dxa"/>
            </w:tcMar>
            <w:vAlign w:val="top"/>
          </w:tcPr>
          <w:p>
            <w:pPr>
              <w:spacing w:after="0" w:line="240" w:lineRule="auto"/>
            </w:pPr>
            <w:r>
              <w:rPr>
                <w:sz w:val="14"/>
              </w:rPr>
              <w:t>Spearman/ordinal methods for ordinal ratings; logistic association only with temporally valid linked data.</w:t>
            </w:r>
          </w:p>
        </w:tc>
        <w:tc>
          <w:tcPr>
            <w:tcW w:type="dxa" w:w="1999"/>
            <w:tcMar>
              <w:top w:w="90" w:type="dxa"/>
              <w:start w:w="100" w:type="dxa"/>
              <w:bottom w:w="90" w:type="dxa"/>
              <w:end w:w="100" w:type="dxa"/>
            </w:tcMar>
            <w:vAlign w:val="top"/>
          </w:tcPr>
          <w:p>
            <w:pPr>
              <w:spacing w:after="0" w:line="240" w:lineRule="auto"/>
            </w:pPr>
            <w:r>
              <w:rPr>
                <w:sz w:val="14"/>
              </w:rPr>
              <w:t>Rating-response coverage and association intervals; nonresponders described.</w:t>
            </w:r>
          </w:p>
        </w:tc>
        <w:tc>
          <w:tcPr>
            <w:tcW w:type="dxa" w:w="1999"/>
            <w:tcMar>
              <w:top w:w="90" w:type="dxa"/>
              <w:start w:w="100" w:type="dxa"/>
              <w:bottom w:w="90" w:type="dxa"/>
              <w:end w:w="100" w:type="dxa"/>
            </w:tcMar>
            <w:vAlign w:val="top"/>
          </w:tcPr>
          <w:p>
            <w:pPr>
              <w:spacing w:after="0" w:line="240" w:lineRule="auto"/>
            </w:pPr>
            <w:r>
              <w:rPr>
                <w:sz w:val="14"/>
              </w:rPr>
              <w:t>Assess whether experience signals merit follow-up; do not equate satisfaction with a causal driver.</w:t>
            </w:r>
          </w:p>
        </w:tc>
      </w:tr>
      <w:tr>
        <w:tc>
          <w:tcPr>
            <w:tcW w:type="dxa" w:w="1999"/>
            <w:shd w:fill="F3F5F7"/>
            <w:tcMar>
              <w:top w:w="90" w:type="dxa"/>
              <w:start w:w="100" w:type="dxa"/>
              <w:bottom w:w="90" w:type="dxa"/>
              <w:end w:w="100" w:type="dxa"/>
            </w:tcMar>
            <w:vAlign w:val="top"/>
          </w:tcPr>
          <w:p>
            <w:pPr>
              <w:spacing w:after="0" w:line="240" w:lineRule="auto"/>
            </w:pPr>
            <w:r>
              <w:rPr>
                <w:sz w:val="14"/>
              </w:rPr>
              <w:t>RQ6. Do purchasing patterns vary by acquisition channel or customer cohort?</w:t>
            </w:r>
          </w:p>
        </w:tc>
        <w:tc>
          <w:tcPr>
            <w:tcW w:type="dxa" w:w="1999"/>
            <w:shd w:fill="F3F5F7"/>
            <w:tcMar>
              <w:top w:w="90" w:type="dxa"/>
              <w:start w:w="100" w:type="dxa"/>
              <w:bottom w:w="90" w:type="dxa"/>
              <w:end w:w="100" w:type="dxa"/>
            </w:tcMar>
            <w:vAlign w:val="top"/>
          </w:tcPr>
          <w:p>
            <w:pPr>
              <w:spacing w:after="0" w:line="240" w:lineRule="auto"/>
            </w:pPr>
            <w:r>
              <w:rPr>
                <w:sz w:val="14"/>
              </w:rPr>
              <w:t>Approved acquisition channel; cohort; follow-up maturity; repeat flag/time to second order.</w:t>
            </w:r>
          </w:p>
        </w:tc>
        <w:tc>
          <w:tcPr>
            <w:tcW w:type="dxa" w:w="1999"/>
            <w:shd w:fill="F3F5F7"/>
            <w:tcMar>
              <w:top w:w="90" w:type="dxa"/>
              <w:start w:w="100" w:type="dxa"/>
              <w:bottom w:w="90" w:type="dxa"/>
              <w:end w:w="100" w:type="dxa"/>
            </w:tcMar>
            <w:vAlign w:val="top"/>
          </w:tcPr>
          <w:p>
            <w:pPr>
              <w:spacing w:after="0" w:line="240" w:lineRule="auto"/>
            </w:pPr>
            <w:r>
              <w:rPr>
                <w:sz w:val="14"/>
              </w:rPr>
              <w:t>Mature-cohort comparison, cross-tabs and time-to-event methods with censoring as appropriate.</w:t>
            </w:r>
          </w:p>
        </w:tc>
        <w:tc>
          <w:tcPr>
            <w:tcW w:type="dxa" w:w="1999"/>
            <w:shd w:fill="F3F5F7"/>
            <w:tcMar>
              <w:top w:w="90" w:type="dxa"/>
              <w:start w:w="100" w:type="dxa"/>
              <w:bottom w:w="90" w:type="dxa"/>
              <w:end w:w="100" w:type="dxa"/>
            </w:tcMar>
            <w:vAlign w:val="top"/>
          </w:tcPr>
          <w:p>
            <w:pPr>
              <w:spacing w:after="0" w:line="240" w:lineRule="auto"/>
            </w:pPr>
            <w:r>
              <w:rPr>
                <w:sz w:val="14"/>
              </w:rPr>
              <w:t>Cohort heatmap/retention curve with risk-set counts and denominators.</w:t>
            </w:r>
          </w:p>
        </w:tc>
        <w:tc>
          <w:tcPr>
            <w:tcW w:type="dxa" w:w="1999"/>
            <w:shd w:fill="F3F5F7"/>
            <w:tcMar>
              <w:top w:w="90" w:type="dxa"/>
              <w:start w:w="100" w:type="dxa"/>
              <w:bottom w:w="90" w:type="dxa"/>
              <w:end w:w="100" w:type="dxa"/>
            </w:tcMar>
            <w:vAlign w:val="top"/>
          </w:tcPr>
          <w:p>
            <w:pPr>
              <w:spacing w:after="0" w:line="240" w:lineRule="auto"/>
            </w:pPr>
            <w:r>
              <w:rPr>
                <w:sz w:val="14"/>
              </w:rPr>
              <w:t>Help assess channel mix and onboarding priorities, subject to attribution quality.</w:t>
            </w:r>
          </w:p>
        </w:tc>
      </w:tr>
      <w:tr>
        <w:tc>
          <w:tcPr>
            <w:tcW w:type="dxa" w:w="1999"/>
            <w:tcMar>
              <w:top w:w="90" w:type="dxa"/>
              <w:start w:w="100" w:type="dxa"/>
              <w:bottom w:w="90" w:type="dxa"/>
              <w:end w:w="100" w:type="dxa"/>
            </w:tcMar>
            <w:vAlign w:val="top"/>
          </w:tcPr>
          <w:p>
            <w:pPr>
              <w:spacing w:after="0" w:line="240" w:lineRule="auto"/>
            </w:pPr>
            <w:r>
              <w:rPr>
                <w:sz w:val="14"/>
              </w:rPr>
              <w:t>RQ7. Can transaction patterns support useful segmentation or future churn/repeat-risk ranking?</w:t>
            </w:r>
          </w:p>
        </w:tc>
        <w:tc>
          <w:tcPr>
            <w:tcW w:type="dxa" w:w="1999"/>
            <w:tcMar>
              <w:top w:w="90" w:type="dxa"/>
              <w:start w:w="100" w:type="dxa"/>
              <w:bottom w:w="90" w:type="dxa"/>
              <w:end w:w="100" w:type="dxa"/>
            </w:tcMar>
            <w:vAlign w:val="top"/>
          </w:tcPr>
          <w:p>
            <w:pPr>
              <w:spacing w:after="0" w:line="240" w:lineRule="auto"/>
            </w:pPr>
            <w:r>
              <w:rPr>
                <w:sz w:val="14"/>
              </w:rPr>
              <w:t>Cutoff-safe RFM, category breadth, channel and future outcome at stated horizon.</w:t>
            </w:r>
          </w:p>
        </w:tc>
        <w:tc>
          <w:tcPr>
            <w:tcW w:type="dxa" w:w="1999"/>
            <w:tcMar>
              <w:top w:w="90" w:type="dxa"/>
              <w:start w:w="100" w:type="dxa"/>
              <w:bottom w:w="90" w:type="dxa"/>
              <w:end w:w="100" w:type="dxa"/>
            </w:tcMar>
            <w:vAlign w:val="top"/>
          </w:tcPr>
          <w:p>
            <w:pPr>
              <w:spacing w:after="0" w:line="240" w:lineRule="auto"/>
            </w:pPr>
            <w:r>
              <w:rPr>
                <w:sz w:val="14"/>
              </w:rPr>
              <w:t>RFM rules as transparent baseline; clustering only after scaling/stability review; optional time split logistic baseline and tree comparison.</w:t>
            </w:r>
          </w:p>
        </w:tc>
        <w:tc>
          <w:tcPr>
            <w:tcW w:type="dxa" w:w="1999"/>
            <w:tcMar>
              <w:top w:w="90" w:type="dxa"/>
              <w:start w:w="100" w:type="dxa"/>
              <w:bottom w:w="90" w:type="dxa"/>
              <w:end w:w="100" w:type="dxa"/>
            </w:tcMar>
            <w:vAlign w:val="top"/>
          </w:tcPr>
          <w:p>
            <w:pPr>
              <w:spacing w:after="0" w:line="240" w:lineRule="auto"/>
            </w:pPr>
            <w:r>
              <w:rPr>
                <w:sz w:val="14"/>
              </w:rPr>
              <w:t>Segment profiles/stability or temporal PR-AUC, lift-at-capacity, calibration and model card.</w:t>
            </w:r>
          </w:p>
        </w:tc>
        <w:tc>
          <w:tcPr>
            <w:tcW w:type="dxa" w:w="1999"/>
            <w:tcMar>
              <w:top w:w="90" w:type="dxa"/>
              <w:start w:w="100" w:type="dxa"/>
              <w:bottom w:w="90" w:type="dxa"/>
              <w:end w:w="100" w:type="dxa"/>
            </w:tcMar>
            <w:vAlign w:val="top"/>
          </w:tcPr>
          <w:p>
            <w:pPr>
              <w:spacing w:after="0" w:line="240" w:lineRule="auto"/>
            </w:pPr>
            <w:r>
              <w:rPr>
                <w:sz w:val="14"/>
              </w:rPr>
              <w:t>Decide whether further modeling adds actionable value beyond descriptive analysis.</w:t>
            </w:r>
          </w:p>
        </w:tc>
      </w:tr>
    </w:tbl>
    <w:p>
      <w:pPr>
        <w:spacing w:after="20"/>
      </w:pPr>
    </w:p>
    <w:p>
      <w:pPr>
        <w:pStyle w:val="Heading2"/>
        <w:keepNext/>
      </w:pPr>
      <w:r>
        <w:t>4.2 Hypotheses (not tested)</w:t>
      </w:r>
    </w:p>
    <w:p>
      <w:pPr>
        <w:pStyle w:val="Caption"/>
        <w:keepNext/>
        <w:spacing w:before="60" w:after="60"/>
      </w:pPr>
      <w:r>
        <w:t>Table 5. Hypothesis specification / Proposed test design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vAlign w:val="center"/>
          </w:tcPr>
          <w:p>
            <w:pPr>
              <w:spacing w:after="0"/>
            </w:pPr>
            <w:r>
              <w:rPr>
                <w:b/>
                <w:color w:val="FFFFFF"/>
                <w:sz w:val="15"/>
              </w:rPr>
              <w:t>Hypothesis specification</w:t>
            </w:r>
          </w:p>
        </w:tc>
        <w:tc>
          <w:tcPr>
            <w:tcW w:type="dxa" w:w="4997"/>
            <w:shd w:fill="17324D"/>
            <w:tcMar>
              <w:top w:w="90" w:type="dxa"/>
              <w:start w:w="100" w:type="dxa"/>
              <w:bottom w:w="90" w:type="dxa"/>
              <w:end w:w="100" w:type="dxa"/>
            </w:tcMar>
            <w:vAlign w:val="center"/>
          </w:tcPr>
          <w:p>
            <w:pPr>
              <w:spacing w:after="0"/>
            </w:pPr>
            <w:r>
              <w:rPr>
                <w:b/>
                <w:color w:val="FFFFFF"/>
                <w:sz w:val="15"/>
              </w:rPr>
              <w:t>Proposed test design</w:t>
            </w:r>
          </w:p>
        </w:tc>
      </w:tr>
      <w:tr>
        <w:tc>
          <w:tcPr>
            <w:tcW w:type="dxa" w:w="4997"/>
            <w:tcMar>
              <w:top w:w="90" w:type="dxa"/>
              <w:start w:w="100" w:type="dxa"/>
              <w:bottom w:w="90" w:type="dxa"/>
              <w:end w:w="100" w:type="dxa"/>
            </w:tcMar>
            <w:vAlign w:val="top"/>
          </w:tcPr>
          <w:p>
            <w:pPr>
              <w:spacing w:after="0" w:line="240" w:lineRule="auto"/>
            </w:pPr>
            <w:r>
              <w:rPr>
                <w:sz w:val="15"/>
              </w:rPr>
              <w:t>H1 — Recency and repeat</w:t>
            </w:r>
          </w:p>
        </w:tc>
        <w:tc>
          <w:tcPr>
            <w:tcW w:type="dxa" w:w="4997"/>
            <w:tcMar>
              <w:top w:w="90" w:type="dxa"/>
              <w:start w:w="100" w:type="dxa"/>
              <w:bottom w:w="90" w:type="dxa"/>
              <w:end w:w="100" w:type="dxa"/>
            </w:tcMar>
            <w:vAlign w:val="top"/>
          </w:tcPr>
          <w:p>
            <w:pPr>
              <w:spacing w:after="0" w:line="240" w:lineRule="auto"/>
            </w:pPr>
            <w:r>
              <w:rPr>
                <w:sz w:val="15"/>
              </w:rPr>
              <w:t>H0: Among customers with complete follow-up, pre-cutoff recency has no association with repeat within the chosen horizon. Ha: Shorter recency is associated with higher repeat probability.</w:t>
            </w:r>
          </w:p>
        </w:tc>
      </w:tr>
      <w:tr>
        <w:tc>
          <w:tcPr>
            <w:tcW w:type="dxa" w:w="4997"/>
            <w:shd w:fill="F3F5F7"/>
            <w:tcMar>
              <w:top w:w="90" w:type="dxa"/>
              <w:start w:w="100" w:type="dxa"/>
              <w:bottom w:w="90" w:type="dxa"/>
              <w:end w:w="100" w:type="dxa"/>
            </w:tcMar>
            <w:vAlign w:val="top"/>
          </w:tcPr>
          <w:p>
            <w:pPr>
              <w:spacing w:after="0" w:line="240" w:lineRule="auto"/>
            </w:pPr>
            <w:r>
              <w:rPr>
                <w:sz w:val="15"/>
              </w:rPr>
              <w:t>Variables / direction</w:t>
            </w:r>
          </w:p>
        </w:tc>
        <w:tc>
          <w:tcPr>
            <w:tcW w:type="dxa" w:w="4997"/>
            <w:shd w:fill="F3F5F7"/>
            <w:tcMar>
              <w:top w:w="90" w:type="dxa"/>
              <w:start w:w="100" w:type="dxa"/>
              <w:bottom w:w="90" w:type="dxa"/>
              <w:end w:w="100" w:type="dxa"/>
            </w:tcMar>
            <w:vAlign w:val="top"/>
          </w:tcPr>
          <w:p>
            <w:pPr>
              <w:spacing w:after="0" w:line="240" w:lineRule="auto"/>
            </w:pPr>
            <w:r>
              <w:rPr>
                <w:sz w:val="15"/>
              </w:rPr>
              <w:t>Predictor: days since last qualifying order at cutoff. Outcome: future repeat flag. Expected direction only as a testable prior; not established.</w:t>
            </w:r>
          </w:p>
        </w:tc>
      </w:tr>
      <w:tr>
        <w:tc>
          <w:tcPr>
            <w:tcW w:type="dxa" w:w="4997"/>
            <w:tcMar>
              <w:top w:w="90" w:type="dxa"/>
              <w:start w:w="100" w:type="dxa"/>
              <w:bottom w:w="90" w:type="dxa"/>
              <w:end w:w="100" w:type="dxa"/>
            </w:tcMar>
            <w:vAlign w:val="top"/>
          </w:tcPr>
          <w:p>
            <w:pPr>
              <w:spacing w:after="0" w:line="240" w:lineRule="auto"/>
            </w:pPr>
            <w:r>
              <w:rPr>
                <w:sz w:val="15"/>
              </w:rPr>
              <w:t>Proposed test</w:t>
            </w:r>
          </w:p>
        </w:tc>
        <w:tc>
          <w:tcPr>
            <w:tcW w:type="dxa" w:w="4997"/>
            <w:tcMar>
              <w:top w:w="90" w:type="dxa"/>
              <w:start w:w="100" w:type="dxa"/>
              <w:bottom w:w="90" w:type="dxa"/>
              <w:end w:w="100" w:type="dxa"/>
            </w:tcMar>
            <w:vAlign w:val="top"/>
          </w:tcPr>
          <w:p>
            <w:pPr>
              <w:spacing w:after="0" w:line="240" w:lineRule="auto"/>
            </w:pPr>
            <w:r>
              <w:rPr>
                <w:sz w:val="15"/>
              </w:rPr>
              <w:t>Logistic regression with pre-specified tenure/category/channel covariates; compare nonlinear form if data support it.</w:t>
            </w:r>
          </w:p>
        </w:tc>
      </w:tr>
      <w:tr>
        <w:tc>
          <w:tcPr>
            <w:tcW w:type="dxa" w:w="4997"/>
            <w:shd w:fill="F3F5F7"/>
            <w:tcMar>
              <w:top w:w="90" w:type="dxa"/>
              <w:start w:w="100" w:type="dxa"/>
              <w:bottom w:w="90" w:type="dxa"/>
              <w:end w:w="100" w:type="dxa"/>
            </w:tcMar>
            <w:vAlign w:val="top"/>
          </w:tcPr>
          <w:p>
            <w:pPr>
              <w:spacing w:after="0" w:line="240" w:lineRule="auto"/>
            </w:pPr>
            <w:r>
              <w:rPr>
                <w:sz w:val="15"/>
              </w:rPr>
              <w:t>Assumptions / limits</w:t>
            </w:r>
          </w:p>
        </w:tc>
        <w:tc>
          <w:tcPr>
            <w:tcW w:type="dxa" w:w="4997"/>
            <w:shd w:fill="F3F5F7"/>
            <w:tcMar>
              <w:top w:w="90" w:type="dxa"/>
              <w:start w:w="100" w:type="dxa"/>
              <w:bottom w:w="90" w:type="dxa"/>
              <w:end w:w="100" w:type="dxa"/>
            </w:tcMar>
            <w:vAlign w:val="top"/>
          </w:tcPr>
          <w:p>
            <w:pPr>
              <w:spacing w:after="0" w:line="240" w:lineRule="auto"/>
            </w:pPr>
            <w:r>
              <w:rPr>
                <w:sz w:val="15"/>
              </w:rPr>
              <w:t>Independent customer units, reliable event dates, no leakage, complete horizon, adequate positives; association is not causation.</w:t>
            </w:r>
          </w:p>
        </w:tc>
      </w:tr>
    </w:tbl>
    <w:p>
      <w:pPr>
        <w:spacing w:after="20"/>
      </w:pPr>
    </w:p>
    <w:p>
      <w:pPr>
        <w:pStyle w:val="Caption"/>
        <w:keepNext/>
        <w:spacing w:before="60" w:after="60"/>
      </w:pPr>
      <w:r>
        <w:t>Table 6. Hypothesis specification / Proposed test design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vAlign w:val="center"/>
          </w:tcPr>
          <w:p>
            <w:pPr>
              <w:spacing w:after="0"/>
            </w:pPr>
            <w:r>
              <w:rPr>
                <w:b/>
                <w:color w:val="FFFFFF"/>
                <w:sz w:val="15"/>
              </w:rPr>
              <w:t>Hypothesis specification</w:t>
            </w:r>
          </w:p>
        </w:tc>
        <w:tc>
          <w:tcPr>
            <w:tcW w:type="dxa" w:w="4997"/>
            <w:shd w:fill="17324D"/>
            <w:tcMar>
              <w:top w:w="90" w:type="dxa"/>
              <w:start w:w="100" w:type="dxa"/>
              <w:bottom w:w="90" w:type="dxa"/>
              <w:end w:w="100" w:type="dxa"/>
            </w:tcMar>
            <w:vAlign w:val="center"/>
          </w:tcPr>
          <w:p>
            <w:pPr>
              <w:spacing w:after="0"/>
            </w:pPr>
            <w:r>
              <w:rPr>
                <w:b/>
                <w:color w:val="FFFFFF"/>
                <w:sz w:val="15"/>
              </w:rPr>
              <w:t>Proposed test design</w:t>
            </w:r>
          </w:p>
        </w:tc>
      </w:tr>
      <w:tr>
        <w:tc>
          <w:tcPr>
            <w:tcW w:type="dxa" w:w="4997"/>
            <w:tcMar>
              <w:top w:w="90" w:type="dxa"/>
              <w:start w:w="100" w:type="dxa"/>
              <w:bottom w:w="90" w:type="dxa"/>
              <w:end w:w="100" w:type="dxa"/>
            </w:tcMar>
            <w:vAlign w:val="top"/>
          </w:tcPr>
          <w:p>
            <w:pPr>
              <w:spacing w:after="0" w:line="240" w:lineRule="auto"/>
            </w:pPr>
            <w:r>
              <w:rPr>
                <w:sz w:val="15"/>
              </w:rPr>
              <w:t>H2 — Category differences</w:t>
            </w:r>
          </w:p>
        </w:tc>
        <w:tc>
          <w:tcPr>
            <w:tcW w:type="dxa" w:w="4997"/>
            <w:tcMar>
              <w:top w:w="90" w:type="dxa"/>
              <w:start w:w="100" w:type="dxa"/>
              <w:bottom w:w="90" w:type="dxa"/>
              <w:end w:w="100" w:type="dxa"/>
            </w:tcMar>
            <w:vAlign w:val="top"/>
          </w:tcPr>
          <w:p>
            <w:pPr>
              <w:spacing w:after="0" w:line="240" w:lineRule="auto"/>
            </w:pPr>
            <w:r>
              <w:rPr>
                <w:sz w:val="15"/>
              </w:rPr>
              <w:t>H0: Horizon repeat proportions are equal across eligible first-purchase categories. Ha: At least one category proportion differs.</w:t>
            </w:r>
          </w:p>
        </w:tc>
      </w:tr>
      <w:tr>
        <w:tc>
          <w:tcPr>
            <w:tcW w:type="dxa" w:w="4997"/>
            <w:shd w:fill="F3F5F7"/>
            <w:tcMar>
              <w:top w:w="90" w:type="dxa"/>
              <w:start w:w="100" w:type="dxa"/>
              <w:bottom w:w="90" w:type="dxa"/>
              <w:end w:w="100" w:type="dxa"/>
            </w:tcMar>
            <w:vAlign w:val="top"/>
          </w:tcPr>
          <w:p>
            <w:pPr>
              <w:spacing w:after="0" w:line="240" w:lineRule="auto"/>
            </w:pPr>
            <w:r>
              <w:rPr>
                <w:sz w:val="15"/>
              </w:rPr>
              <w:t>Variables / direction</w:t>
            </w:r>
          </w:p>
        </w:tc>
        <w:tc>
          <w:tcPr>
            <w:tcW w:type="dxa" w:w="4997"/>
            <w:shd w:fill="F3F5F7"/>
            <w:tcMar>
              <w:top w:w="90" w:type="dxa"/>
              <w:start w:w="100" w:type="dxa"/>
              <w:bottom w:w="90" w:type="dxa"/>
              <w:end w:w="100" w:type="dxa"/>
            </w:tcMar>
            <w:vAlign w:val="top"/>
          </w:tcPr>
          <w:p>
            <w:pPr>
              <w:spacing w:after="0" w:line="240" w:lineRule="auto"/>
            </w:pPr>
            <w:r>
              <w:rPr>
                <w:sz w:val="15"/>
              </w:rPr>
              <w:t>Predictor: first qualifying product category. Outcome: horizon repeat flag. No direction asserted.</w:t>
            </w:r>
          </w:p>
        </w:tc>
      </w:tr>
      <w:tr>
        <w:tc>
          <w:tcPr>
            <w:tcW w:type="dxa" w:w="4997"/>
            <w:tcMar>
              <w:top w:w="90" w:type="dxa"/>
              <w:start w:w="100" w:type="dxa"/>
              <w:bottom w:w="90" w:type="dxa"/>
              <w:end w:w="100" w:type="dxa"/>
            </w:tcMar>
            <w:vAlign w:val="top"/>
          </w:tcPr>
          <w:p>
            <w:pPr>
              <w:spacing w:after="0" w:line="240" w:lineRule="auto"/>
            </w:pPr>
            <w:r>
              <w:rPr>
                <w:sz w:val="15"/>
              </w:rPr>
              <w:t>Proposed test</w:t>
            </w:r>
          </w:p>
        </w:tc>
        <w:tc>
          <w:tcPr>
            <w:tcW w:type="dxa" w:w="4997"/>
            <w:tcMar>
              <w:top w:w="90" w:type="dxa"/>
              <w:start w:w="100" w:type="dxa"/>
              <w:bottom w:w="90" w:type="dxa"/>
              <w:end w:w="100" w:type="dxa"/>
            </w:tcMar>
            <w:vAlign w:val="top"/>
          </w:tcPr>
          <w:p>
            <w:pPr>
              <w:spacing w:after="0" w:line="240" w:lineRule="auto"/>
            </w:pPr>
            <w:r>
              <w:rPr>
                <w:sz w:val="15"/>
              </w:rPr>
              <w:t>Chi-square test when expected counts/independence support it; otherwise exact/Monte Carlo alternative or combine/suppress sparse groups by prior rule.</w:t>
            </w:r>
          </w:p>
        </w:tc>
      </w:tr>
      <w:tr>
        <w:tc>
          <w:tcPr>
            <w:tcW w:type="dxa" w:w="4997"/>
            <w:shd w:fill="F3F5F7"/>
            <w:tcMar>
              <w:top w:w="90" w:type="dxa"/>
              <w:start w:w="100" w:type="dxa"/>
              <w:bottom w:w="90" w:type="dxa"/>
              <w:end w:w="100" w:type="dxa"/>
            </w:tcMar>
            <w:vAlign w:val="top"/>
          </w:tcPr>
          <w:p>
            <w:pPr>
              <w:spacing w:after="0" w:line="240" w:lineRule="auto"/>
            </w:pPr>
            <w:r>
              <w:rPr>
                <w:sz w:val="15"/>
              </w:rPr>
              <w:t>Assumptions / limits</w:t>
            </w:r>
          </w:p>
        </w:tc>
        <w:tc>
          <w:tcPr>
            <w:tcW w:type="dxa" w:w="4997"/>
            <w:shd w:fill="F3F5F7"/>
            <w:tcMar>
              <w:top w:w="90" w:type="dxa"/>
              <w:start w:w="100" w:type="dxa"/>
              <w:bottom w:w="90" w:type="dxa"/>
              <w:end w:w="100" w:type="dxa"/>
            </w:tcMar>
            <w:vAlign w:val="top"/>
          </w:tcPr>
          <w:p>
            <w:pPr>
              <w:spacing w:after="0" w:line="240" w:lineRule="auto"/>
            </w:pPr>
            <w:r>
              <w:rPr>
                <w:sz w:val="15"/>
              </w:rPr>
              <w:t>Stable category definitions, mature follow-up, independent customer observations, adequate expected counts; multiple comparisons need control.</w:t>
            </w:r>
          </w:p>
        </w:tc>
      </w:tr>
    </w:tbl>
    <w:p>
      <w:pPr>
        <w:spacing w:after="20"/>
      </w:pPr>
    </w:p>
    <w:p>
      <w:pPr>
        <w:pStyle w:val="Caption"/>
        <w:keepNext/>
        <w:spacing w:before="60" w:after="60"/>
      </w:pPr>
      <w:r>
        <w:t>Table 7. Hypothesis specification / Proposed test design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vAlign w:val="center"/>
          </w:tcPr>
          <w:p>
            <w:pPr>
              <w:spacing w:after="0"/>
            </w:pPr>
            <w:r>
              <w:rPr>
                <w:b/>
                <w:color w:val="FFFFFF"/>
                <w:sz w:val="15"/>
              </w:rPr>
              <w:t>Hypothesis specification</w:t>
            </w:r>
          </w:p>
        </w:tc>
        <w:tc>
          <w:tcPr>
            <w:tcW w:type="dxa" w:w="4997"/>
            <w:shd w:fill="17324D"/>
            <w:tcMar>
              <w:top w:w="90" w:type="dxa"/>
              <w:start w:w="100" w:type="dxa"/>
              <w:bottom w:w="90" w:type="dxa"/>
              <w:end w:w="100" w:type="dxa"/>
            </w:tcMar>
            <w:vAlign w:val="center"/>
          </w:tcPr>
          <w:p>
            <w:pPr>
              <w:spacing w:after="0"/>
            </w:pPr>
            <w:r>
              <w:rPr>
                <w:b/>
                <w:color w:val="FFFFFF"/>
                <w:sz w:val="15"/>
              </w:rPr>
              <w:t>Proposed test design</w:t>
            </w:r>
          </w:p>
        </w:tc>
      </w:tr>
      <w:tr>
        <w:tc>
          <w:tcPr>
            <w:tcW w:type="dxa" w:w="4997"/>
            <w:tcMar>
              <w:top w:w="90" w:type="dxa"/>
              <w:start w:w="100" w:type="dxa"/>
              <w:bottom w:w="90" w:type="dxa"/>
              <w:end w:w="100" w:type="dxa"/>
            </w:tcMar>
            <w:vAlign w:val="top"/>
          </w:tcPr>
          <w:p>
            <w:pPr>
              <w:spacing w:after="0" w:line="240" w:lineRule="auto"/>
            </w:pPr>
            <w:r>
              <w:rPr>
                <w:sz w:val="15"/>
              </w:rPr>
              <w:t>H3 — Segment and future AOV</w:t>
            </w:r>
          </w:p>
        </w:tc>
        <w:tc>
          <w:tcPr>
            <w:tcW w:type="dxa" w:w="4997"/>
            <w:tcMar>
              <w:top w:w="90" w:type="dxa"/>
              <w:start w:w="100" w:type="dxa"/>
              <w:bottom w:w="90" w:type="dxa"/>
              <w:end w:w="100" w:type="dxa"/>
            </w:tcMar>
            <w:vAlign w:val="top"/>
          </w:tcPr>
          <w:p>
            <w:pPr>
              <w:spacing w:after="0" w:line="240" w:lineRule="auto"/>
            </w:pPr>
            <w:r>
              <w:rPr>
                <w:sz w:val="15"/>
              </w:rPr>
              <w:t>H0: Mean future-window AOV is equal across segments defined only from pre-window behavior. Ha: At least one segment mean differs.</w:t>
            </w:r>
          </w:p>
        </w:tc>
      </w:tr>
      <w:tr>
        <w:tc>
          <w:tcPr>
            <w:tcW w:type="dxa" w:w="4997"/>
            <w:shd w:fill="F3F5F7"/>
            <w:tcMar>
              <w:top w:w="90" w:type="dxa"/>
              <w:start w:w="100" w:type="dxa"/>
              <w:bottom w:w="90" w:type="dxa"/>
              <w:end w:w="100" w:type="dxa"/>
            </w:tcMar>
            <w:vAlign w:val="top"/>
          </w:tcPr>
          <w:p>
            <w:pPr>
              <w:spacing w:after="0" w:line="240" w:lineRule="auto"/>
            </w:pPr>
            <w:r>
              <w:rPr>
                <w:sz w:val="15"/>
              </w:rPr>
              <w:t>Variables / direction</w:t>
            </w:r>
          </w:p>
        </w:tc>
        <w:tc>
          <w:tcPr>
            <w:tcW w:type="dxa" w:w="4997"/>
            <w:shd w:fill="F3F5F7"/>
            <w:tcMar>
              <w:top w:w="90" w:type="dxa"/>
              <w:start w:w="100" w:type="dxa"/>
              <w:bottom w:w="90" w:type="dxa"/>
              <w:end w:w="100" w:type="dxa"/>
            </w:tcMar>
            <w:vAlign w:val="top"/>
          </w:tcPr>
          <w:p>
            <w:pPr>
              <w:spacing w:after="0" w:line="240" w:lineRule="auto"/>
            </w:pPr>
            <w:r>
              <w:rPr>
                <w:sz w:val="15"/>
              </w:rPr>
              <w:t>Group: pre-defined cutoff-safe RFM segment. Outcome: AOV in a later, fixed window. No direction asserted.</w:t>
            </w:r>
          </w:p>
        </w:tc>
      </w:tr>
      <w:tr>
        <w:tc>
          <w:tcPr>
            <w:tcW w:type="dxa" w:w="4997"/>
            <w:tcMar>
              <w:top w:w="90" w:type="dxa"/>
              <w:start w:w="100" w:type="dxa"/>
              <w:bottom w:w="90" w:type="dxa"/>
              <w:end w:w="100" w:type="dxa"/>
            </w:tcMar>
            <w:vAlign w:val="top"/>
          </w:tcPr>
          <w:p>
            <w:pPr>
              <w:spacing w:after="0" w:line="240" w:lineRule="auto"/>
            </w:pPr>
            <w:r>
              <w:rPr>
                <w:sz w:val="15"/>
              </w:rPr>
              <w:t>Proposed test</w:t>
            </w:r>
          </w:p>
        </w:tc>
        <w:tc>
          <w:tcPr>
            <w:tcW w:type="dxa" w:w="4997"/>
            <w:tcMar>
              <w:top w:w="90" w:type="dxa"/>
              <w:start w:w="100" w:type="dxa"/>
              <w:bottom w:w="90" w:type="dxa"/>
              <w:end w:w="100" w:type="dxa"/>
            </w:tcMar>
            <w:vAlign w:val="top"/>
          </w:tcPr>
          <w:p>
            <w:pPr>
              <w:spacing w:after="0" w:line="240" w:lineRule="auto"/>
            </w:pPr>
            <w:r>
              <w:rPr>
                <w:sz w:val="15"/>
              </w:rPr>
              <w:t>Welch ANOVA with suitable post-hoc correction; Kruskal–Wallis/robust bootstrap if distribution and assumptions warrant.</w:t>
            </w:r>
          </w:p>
        </w:tc>
      </w:tr>
      <w:tr>
        <w:tc>
          <w:tcPr>
            <w:tcW w:type="dxa" w:w="4997"/>
            <w:shd w:fill="F3F5F7"/>
            <w:tcMar>
              <w:top w:w="90" w:type="dxa"/>
              <w:start w:w="100" w:type="dxa"/>
              <w:bottom w:w="90" w:type="dxa"/>
              <w:end w:w="100" w:type="dxa"/>
            </w:tcMar>
            <w:vAlign w:val="top"/>
          </w:tcPr>
          <w:p>
            <w:pPr>
              <w:spacing w:after="0" w:line="240" w:lineRule="auto"/>
            </w:pPr>
            <w:r>
              <w:rPr>
                <w:sz w:val="15"/>
              </w:rPr>
              <w:t>Assumptions / limits</w:t>
            </w:r>
          </w:p>
        </w:tc>
        <w:tc>
          <w:tcPr>
            <w:tcW w:type="dxa" w:w="4997"/>
            <w:shd w:fill="F3F5F7"/>
            <w:tcMar>
              <w:top w:w="90" w:type="dxa"/>
              <w:start w:w="100" w:type="dxa"/>
              <w:bottom w:w="90" w:type="dxa"/>
              <w:end w:w="100" w:type="dxa"/>
            </w:tcMar>
            <w:vAlign w:val="top"/>
          </w:tcPr>
          <w:p>
            <w:pPr>
              <w:spacing w:after="0" w:line="240" w:lineRule="auto"/>
            </w:pPr>
            <w:r>
              <w:rPr>
                <w:sz w:val="15"/>
              </w:rPr>
              <w:t>Independent customer units, adequate follow-up; avoid circular segment definitions that include future AOV; heavy skew and unequal variance.</w:t>
            </w:r>
          </w:p>
        </w:tc>
      </w:tr>
    </w:tbl>
    <w:p>
      <w:pPr>
        <w:spacing w:after="20"/>
      </w:pPr>
    </w:p>
    <w:p>
      <w:pPr>
        <w:pStyle w:val="Caption"/>
        <w:keepNext/>
        <w:spacing w:before="60" w:after="60"/>
      </w:pPr>
      <w:r>
        <w:t>Table 8. Hypothesis specification / Proposed test design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vAlign w:val="center"/>
          </w:tcPr>
          <w:p>
            <w:pPr>
              <w:spacing w:after="0"/>
            </w:pPr>
            <w:r>
              <w:rPr>
                <w:b/>
                <w:color w:val="FFFFFF"/>
                <w:sz w:val="15"/>
              </w:rPr>
              <w:t>Hypothesis specification</w:t>
            </w:r>
          </w:p>
        </w:tc>
        <w:tc>
          <w:tcPr>
            <w:tcW w:type="dxa" w:w="4997"/>
            <w:shd w:fill="17324D"/>
            <w:tcMar>
              <w:top w:w="90" w:type="dxa"/>
              <w:start w:w="100" w:type="dxa"/>
              <w:bottom w:w="90" w:type="dxa"/>
              <w:end w:w="100" w:type="dxa"/>
            </w:tcMar>
            <w:vAlign w:val="center"/>
          </w:tcPr>
          <w:p>
            <w:pPr>
              <w:spacing w:after="0"/>
            </w:pPr>
            <w:r>
              <w:rPr>
                <w:b/>
                <w:color w:val="FFFFFF"/>
                <w:sz w:val="15"/>
              </w:rPr>
              <w:t>Proposed test design</w:t>
            </w:r>
          </w:p>
        </w:tc>
      </w:tr>
      <w:tr>
        <w:tc>
          <w:tcPr>
            <w:tcW w:type="dxa" w:w="4997"/>
            <w:tcMar>
              <w:top w:w="90" w:type="dxa"/>
              <w:start w:w="100" w:type="dxa"/>
              <w:bottom w:w="90" w:type="dxa"/>
              <w:end w:w="100" w:type="dxa"/>
            </w:tcMar>
            <w:vAlign w:val="top"/>
          </w:tcPr>
          <w:p>
            <w:pPr>
              <w:spacing w:after="0" w:line="240" w:lineRule="auto"/>
            </w:pPr>
            <w:r>
              <w:rPr>
                <w:sz w:val="15"/>
              </w:rPr>
              <w:t>H4 — Discount and repeat</w:t>
            </w:r>
          </w:p>
        </w:tc>
        <w:tc>
          <w:tcPr>
            <w:tcW w:type="dxa" w:w="4997"/>
            <w:tcMar>
              <w:top w:w="90" w:type="dxa"/>
              <w:start w:w="100" w:type="dxa"/>
              <w:bottom w:w="90" w:type="dxa"/>
              <w:end w:w="100" w:type="dxa"/>
            </w:tcMar>
            <w:vAlign w:val="top"/>
          </w:tcPr>
          <w:p>
            <w:pPr>
              <w:spacing w:after="0" w:line="240" w:lineRule="auto"/>
            </w:pPr>
            <w:r>
              <w:rPr>
                <w:sz w:val="15"/>
              </w:rPr>
              <w:t>H0: Discount use/rate is not associated with subsequent repeat after defined adjustment. Ha: An association exists.</w:t>
            </w:r>
          </w:p>
        </w:tc>
      </w:tr>
      <w:tr>
        <w:tc>
          <w:tcPr>
            <w:tcW w:type="dxa" w:w="4997"/>
            <w:shd w:fill="F3F5F7"/>
            <w:tcMar>
              <w:top w:w="90" w:type="dxa"/>
              <w:start w:w="100" w:type="dxa"/>
              <w:bottom w:w="90" w:type="dxa"/>
              <w:end w:w="100" w:type="dxa"/>
            </w:tcMar>
            <w:vAlign w:val="top"/>
          </w:tcPr>
          <w:p>
            <w:pPr>
              <w:spacing w:after="0" w:line="240" w:lineRule="auto"/>
            </w:pPr>
            <w:r>
              <w:rPr>
                <w:sz w:val="15"/>
              </w:rPr>
              <w:t>Variables / direction</w:t>
            </w:r>
          </w:p>
        </w:tc>
        <w:tc>
          <w:tcPr>
            <w:tcW w:type="dxa" w:w="4997"/>
            <w:shd w:fill="F3F5F7"/>
            <w:tcMar>
              <w:top w:w="90" w:type="dxa"/>
              <w:start w:w="100" w:type="dxa"/>
              <w:bottom w:w="90" w:type="dxa"/>
              <w:end w:w="100" w:type="dxa"/>
            </w:tcMar>
            <w:vAlign w:val="top"/>
          </w:tcPr>
          <w:p>
            <w:pPr>
              <w:spacing w:after="0" w:line="240" w:lineRule="auto"/>
            </w:pPr>
            <w:r>
              <w:rPr>
                <w:sz w:val="15"/>
              </w:rPr>
              <w:t>Predictor: pre-anchor discount amount/rate. Outcome: future horizon repeat. Direction not assumed because promotion targeting and product mix confound.</w:t>
            </w:r>
          </w:p>
        </w:tc>
      </w:tr>
      <w:tr>
        <w:tc>
          <w:tcPr>
            <w:tcW w:type="dxa" w:w="4997"/>
            <w:tcMar>
              <w:top w:w="90" w:type="dxa"/>
              <w:start w:w="100" w:type="dxa"/>
              <w:bottom w:w="90" w:type="dxa"/>
              <w:end w:w="100" w:type="dxa"/>
            </w:tcMar>
            <w:vAlign w:val="top"/>
          </w:tcPr>
          <w:p>
            <w:pPr>
              <w:spacing w:after="0" w:line="240" w:lineRule="auto"/>
            </w:pPr>
            <w:r>
              <w:rPr>
                <w:sz w:val="15"/>
              </w:rPr>
              <w:t>Proposed test</w:t>
            </w:r>
          </w:p>
        </w:tc>
        <w:tc>
          <w:tcPr>
            <w:tcW w:type="dxa" w:w="4997"/>
            <w:tcMar>
              <w:top w:w="90" w:type="dxa"/>
              <w:start w:w="100" w:type="dxa"/>
              <w:bottom w:w="90" w:type="dxa"/>
              <w:end w:w="100" w:type="dxa"/>
            </w:tcMar>
            <w:vAlign w:val="top"/>
          </w:tcPr>
          <w:p>
            <w:pPr>
              <w:spacing w:after="0" w:line="240" w:lineRule="auto"/>
            </w:pPr>
            <w:r>
              <w:rPr>
                <w:sz w:val="15"/>
              </w:rPr>
              <w:t>Chi-square for crude eligible categorical comparison; pre-specified logistic regression for adjusted association; interaction only if powered.</w:t>
            </w:r>
          </w:p>
        </w:tc>
      </w:tr>
      <w:tr>
        <w:tc>
          <w:tcPr>
            <w:tcW w:type="dxa" w:w="4997"/>
            <w:shd w:fill="F3F5F7"/>
            <w:tcMar>
              <w:top w:w="90" w:type="dxa"/>
              <w:start w:w="100" w:type="dxa"/>
              <w:bottom w:w="90" w:type="dxa"/>
              <w:end w:w="100" w:type="dxa"/>
            </w:tcMar>
            <w:vAlign w:val="top"/>
          </w:tcPr>
          <w:p>
            <w:pPr>
              <w:spacing w:after="0" w:line="240" w:lineRule="auto"/>
            </w:pPr>
            <w:r>
              <w:rPr>
                <w:sz w:val="15"/>
              </w:rPr>
              <w:t>Assumptions / limits</w:t>
            </w:r>
          </w:p>
        </w:tc>
        <w:tc>
          <w:tcPr>
            <w:tcW w:type="dxa" w:w="4997"/>
            <w:shd w:fill="F3F5F7"/>
            <w:tcMar>
              <w:top w:w="90" w:type="dxa"/>
              <w:start w:w="100" w:type="dxa"/>
              <w:bottom w:w="90" w:type="dxa"/>
              <w:end w:w="100" w:type="dxa"/>
            </w:tcMar>
            <w:vAlign w:val="top"/>
          </w:tcPr>
          <w:p>
            <w:pPr>
              <w:spacing w:after="0" w:line="240" w:lineRule="auto"/>
            </w:pPr>
            <w:r>
              <w:rPr>
                <w:sz w:val="15"/>
              </w:rPr>
              <w:t>Accurate discount basis, confounding/selection, overlap, customer-level independence; adjustment does not prove discount impact.</w:t>
            </w:r>
          </w:p>
        </w:tc>
      </w:tr>
    </w:tbl>
    <w:p>
      <w:pPr>
        <w:spacing w:after="20"/>
      </w:pPr>
    </w:p>
    <w:p>
      <w:pPr>
        <w:pStyle w:val="Caption"/>
        <w:keepNext/>
        <w:spacing w:before="60" w:after="60"/>
      </w:pPr>
      <w:r>
        <w:t>Table 9. Hypothesis specification / Proposed test design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vAlign w:val="center"/>
          </w:tcPr>
          <w:p>
            <w:pPr>
              <w:spacing w:after="0"/>
            </w:pPr>
            <w:r>
              <w:rPr>
                <w:b/>
                <w:color w:val="FFFFFF"/>
                <w:sz w:val="15"/>
              </w:rPr>
              <w:t>Hypothesis specification</w:t>
            </w:r>
          </w:p>
        </w:tc>
        <w:tc>
          <w:tcPr>
            <w:tcW w:type="dxa" w:w="4997"/>
            <w:shd w:fill="17324D"/>
            <w:tcMar>
              <w:top w:w="90" w:type="dxa"/>
              <w:start w:w="100" w:type="dxa"/>
              <w:bottom w:w="90" w:type="dxa"/>
              <w:end w:w="100" w:type="dxa"/>
            </w:tcMar>
            <w:vAlign w:val="center"/>
          </w:tcPr>
          <w:p>
            <w:pPr>
              <w:spacing w:after="0"/>
            </w:pPr>
            <w:r>
              <w:rPr>
                <w:b/>
                <w:color w:val="FFFFFF"/>
                <w:sz w:val="15"/>
              </w:rPr>
              <w:t>Proposed test design</w:t>
            </w:r>
          </w:p>
        </w:tc>
      </w:tr>
      <w:tr>
        <w:tc>
          <w:tcPr>
            <w:tcW w:type="dxa" w:w="4997"/>
            <w:tcMar>
              <w:top w:w="90" w:type="dxa"/>
              <w:start w:w="100" w:type="dxa"/>
              <w:bottom w:w="90" w:type="dxa"/>
              <w:end w:w="100" w:type="dxa"/>
            </w:tcMar>
            <w:vAlign w:val="top"/>
          </w:tcPr>
          <w:p>
            <w:pPr>
              <w:spacing w:after="0" w:line="240" w:lineRule="auto"/>
            </w:pPr>
            <w:r>
              <w:rPr>
                <w:sz w:val="15"/>
              </w:rPr>
              <w:t>H5 — Satisfaction and repeat</w:t>
            </w:r>
          </w:p>
        </w:tc>
        <w:tc>
          <w:tcPr>
            <w:tcW w:type="dxa" w:w="4997"/>
            <w:tcMar>
              <w:top w:w="90" w:type="dxa"/>
              <w:start w:w="100" w:type="dxa"/>
              <w:bottom w:w="90" w:type="dxa"/>
              <w:end w:w="100" w:type="dxa"/>
            </w:tcMar>
            <w:vAlign w:val="top"/>
          </w:tcPr>
          <w:p>
            <w:pPr>
              <w:spacing w:after="0" w:line="240" w:lineRule="auto"/>
            </w:pPr>
            <w:r>
              <w:rPr>
                <w:sz w:val="15"/>
              </w:rPr>
              <w:t>H0: Linked satisfaction score is not associated with later repeat. Ha: A monotonic/ordered association exists.</w:t>
            </w:r>
          </w:p>
        </w:tc>
      </w:tr>
      <w:tr>
        <w:tc>
          <w:tcPr>
            <w:tcW w:type="dxa" w:w="4997"/>
            <w:shd w:fill="F3F5F7"/>
            <w:tcMar>
              <w:top w:w="90" w:type="dxa"/>
              <w:start w:w="100" w:type="dxa"/>
              <w:bottom w:w="90" w:type="dxa"/>
              <w:end w:w="100" w:type="dxa"/>
            </w:tcMar>
            <w:vAlign w:val="top"/>
          </w:tcPr>
          <w:p>
            <w:pPr>
              <w:spacing w:after="0" w:line="240" w:lineRule="auto"/>
            </w:pPr>
            <w:r>
              <w:rPr>
                <w:sz w:val="15"/>
              </w:rPr>
              <w:t>Variables / direction</w:t>
            </w:r>
          </w:p>
        </w:tc>
        <w:tc>
          <w:tcPr>
            <w:tcW w:type="dxa" w:w="4997"/>
            <w:shd w:fill="F3F5F7"/>
            <w:tcMar>
              <w:top w:w="90" w:type="dxa"/>
              <w:start w:w="100" w:type="dxa"/>
              <w:bottom w:w="90" w:type="dxa"/>
              <w:end w:w="100" w:type="dxa"/>
            </w:tcMar>
            <w:vAlign w:val="top"/>
          </w:tcPr>
          <w:p>
            <w:pPr>
              <w:spacing w:after="0" w:line="240" w:lineRule="auto"/>
            </w:pPr>
            <w:r>
              <w:rPr>
                <w:sz w:val="15"/>
              </w:rPr>
              <w:t>Predictor: approved customer rating/satisfaction recorded before outcome window. Outcome: later repeat flag.</w:t>
            </w:r>
          </w:p>
        </w:tc>
      </w:tr>
      <w:tr>
        <w:tc>
          <w:tcPr>
            <w:tcW w:type="dxa" w:w="4997"/>
            <w:tcMar>
              <w:top w:w="90" w:type="dxa"/>
              <w:start w:w="100" w:type="dxa"/>
              <w:bottom w:w="90" w:type="dxa"/>
              <w:end w:w="100" w:type="dxa"/>
            </w:tcMar>
            <w:vAlign w:val="top"/>
          </w:tcPr>
          <w:p>
            <w:pPr>
              <w:spacing w:after="0" w:line="240" w:lineRule="auto"/>
            </w:pPr>
            <w:r>
              <w:rPr>
                <w:sz w:val="15"/>
              </w:rPr>
              <w:t>Proposed test</w:t>
            </w:r>
          </w:p>
        </w:tc>
        <w:tc>
          <w:tcPr>
            <w:tcW w:type="dxa" w:w="4997"/>
            <w:tcMar>
              <w:top w:w="90" w:type="dxa"/>
              <w:start w:w="100" w:type="dxa"/>
              <w:bottom w:w="90" w:type="dxa"/>
              <w:end w:w="100" w:type="dxa"/>
            </w:tcMar>
            <w:vAlign w:val="top"/>
          </w:tcPr>
          <w:p>
            <w:pPr>
              <w:spacing w:after="0" w:line="240" w:lineRule="auto"/>
            </w:pPr>
            <w:r>
              <w:rPr>
                <w:sz w:val="15"/>
              </w:rPr>
              <w:t>Spearman rank association for ordinal exploratory analysis or ordinal/logistic regression if scale and design support it.</w:t>
            </w:r>
          </w:p>
        </w:tc>
      </w:tr>
      <w:tr>
        <w:tc>
          <w:tcPr>
            <w:tcW w:type="dxa" w:w="4997"/>
            <w:shd w:fill="F3F5F7"/>
            <w:tcMar>
              <w:top w:w="90" w:type="dxa"/>
              <w:start w:w="100" w:type="dxa"/>
              <w:bottom w:w="90" w:type="dxa"/>
              <w:end w:w="100" w:type="dxa"/>
            </w:tcMar>
            <w:vAlign w:val="top"/>
          </w:tcPr>
          <w:p>
            <w:pPr>
              <w:spacing w:after="0" w:line="240" w:lineRule="auto"/>
            </w:pPr>
            <w:r>
              <w:rPr>
                <w:sz w:val="15"/>
              </w:rPr>
              <w:t>Assumptions / limits</w:t>
            </w:r>
          </w:p>
        </w:tc>
        <w:tc>
          <w:tcPr>
            <w:tcW w:type="dxa" w:w="4997"/>
            <w:shd w:fill="F3F5F7"/>
            <w:tcMar>
              <w:top w:w="90" w:type="dxa"/>
              <w:start w:w="100" w:type="dxa"/>
              <w:bottom w:w="90" w:type="dxa"/>
              <w:end w:w="100" w:type="dxa"/>
            </w:tcMar>
            <w:vAlign w:val="top"/>
          </w:tcPr>
          <w:p>
            <w:pPr>
              <w:spacing w:after="0" w:line="240" w:lineRule="auto"/>
            </w:pPr>
            <w:r>
              <w:rPr>
                <w:sz w:val="15"/>
              </w:rPr>
              <w:t>Valid instrument, correct timing/linkage, enough responses, scale consistency; nonresponse/selection bias and reverse causality.</w:t>
            </w:r>
          </w:p>
        </w:tc>
      </w:tr>
    </w:tbl>
    <w:p>
      <w:pPr>
        <w:spacing w:after="20"/>
      </w:pPr>
    </w:p>
    <w:tbl>
      <w:tblPr>
        <w:tblW w:type="auto" w:w="0"/>
        <w:jc w:val="center"/>
        <w:tblLook w:firstColumn="1" w:firstRow="1" w:lastColumn="0" w:lastRow="0" w:noHBand="0" w:noVBand="1" w:val="04A0"/>
      </w:tblPr>
      <w:tblGrid>
        <w:gridCol w:w="9994"/>
      </w:tblGrid>
      <w:tr>
        <w:tc>
          <w:tcPr>
            <w:tcW w:type="dxa" w:w="9994"/>
            <w:shd w:fill="E8F4F3"/>
            <w:tcMar>
              <w:top w:w="150" w:type="dxa"/>
              <w:start w:w="180" w:type="dxa"/>
              <w:bottom w:w="150" w:type="dxa"/>
              <w:end w:w="180" w:type="dxa"/>
            </w:tcMar>
          </w:tcPr>
          <w:p>
            <w:pPr>
              <w:spacing w:after="0"/>
            </w:pPr>
            <w:r>
              <w:rPr>
                <w:b/>
                <w:color w:val="138A8A"/>
              </w:rPr>
              <w:t xml:space="preserve">STATUS  </w:t>
            </w:r>
            <w:r>
              <w:t>H1–H5 are proposed, untested hypotheses. No result is accepted or supported by customer-level evidence at this planning stage.</w:t>
            </w:r>
          </w:p>
        </w:tc>
      </w:tr>
    </w:tbl>
    <w:p>
      <w:pPr>
        <w:spacing w:after="0"/>
      </w:pPr>
    </w:p>
    <w:p>
      <w:pPr>
        <w:spacing w:after="120" w:line="259" w:lineRule="auto"/>
      </w:pPr>
      <w:r>
        <w:t>Before inferential testing, agree the eligible population, outcome definition, time horizon, covariates, practical effect threshold, and multiple-comparison approach with the sponsor. Exploratory comparisons must be labeled as such.</w:t>
      </w:r>
    </w:p>
    <w:p>
      <w:r>
        <w:br w:type="page"/>
      </w:r>
    </w:p>
    <w:p>
      <w:pPr>
        <w:pStyle w:val="Heading1"/>
        <w:keepNext/>
      </w:pPr>
      <w:r>
        <w:t>5. Measures, variables, and definitions</w:t>
      </w:r>
    </w:p>
    <w:p>
      <w:pPr>
        <w:spacing w:after="120" w:line="259" w:lineRule="auto"/>
      </w:pPr>
      <w:r>
        <w:t>The analysis unit is a customer anchored to an earliest qualifying completed purchase in the available, validated history. The companion variable dictionary lists candidate source and derived fields, types, and handling caveats. Field inclusion remains subject to purpose, permissions, and data-owner review.</w:t>
      </w:r>
    </w:p>
    <w:p>
      <w:pPr>
        <w:pStyle w:val="Caption"/>
        <w:keepNext/>
        <w:spacing w:before="60" w:after="60"/>
      </w:pPr>
      <w:r>
        <w:t>Table 10. Measure / Proposed operational definition / Important rule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vAlign w:val="center"/>
          </w:tcPr>
          <w:p>
            <w:pPr>
              <w:spacing w:after="0"/>
            </w:pPr>
            <w:r>
              <w:rPr>
                <w:b/>
                <w:color w:val="FFFFFF"/>
                <w:sz w:val="16"/>
              </w:rPr>
              <w:t>Measure</w:t>
            </w:r>
          </w:p>
        </w:tc>
        <w:tc>
          <w:tcPr>
            <w:tcW w:type="dxa" w:w="3331"/>
            <w:shd w:fill="17324D"/>
            <w:tcMar>
              <w:top w:w="90" w:type="dxa"/>
              <w:start w:w="100" w:type="dxa"/>
              <w:bottom w:w="90" w:type="dxa"/>
              <w:end w:w="100" w:type="dxa"/>
            </w:tcMar>
            <w:vAlign w:val="center"/>
          </w:tcPr>
          <w:p>
            <w:pPr>
              <w:spacing w:after="0"/>
            </w:pPr>
            <w:r>
              <w:rPr>
                <w:b/>
                <w:color w:val="FFFFFF"/>
                <w:sz w:val="16"/>
              </w:rPr>
              <w:t>Proposed operational definition</w:t>
            </w:r>
          </w:p>
        </w:tc>
        <w:tc>
          <w:tcPr>
            <w:tcW w:type="dxa" w:w="3331"/>
            <w:shd w:fill="17324D"/>
            <w:tcMar>
              <w:top w:w="90" w:type="dxa"/>
              <w:start w:w="100" w:type="dxa"/>
              <w:bottom w:w="90" w:type="dxa"/>
              <w:end w:w="100" w:type="dxa"/>
            </w:tcMar>
            <w:vAlign w:val="center"/>
          </w:tcPr>
          <w:p>
            <w:pPr>
              <w:spacing w:after="0"/>
            </w:pPr>
            <w:r>
              <w:rPr>
                <w:b/>
                <w:color w:val="FFFFFF"/>
                <w:sz w:val="16"/>
              </w:rPr>
              <w:t>Important rule</w:t>
            </w:r>
          </w:p>
        </w:tc>
      </w:tr>
      <w:tr>
        <w:tc>
          <w:tcPr>
            <w:tcW w:type="dxa" w:w="3331"/>
            <w:tcMar>
              <w:top w:w="90" w:type="dxa"/>
              <w:start w:w="100" w:type="dxa"/>
              <w:bottom w:w="90" w:type="dxa"/>
              <w:end w:w="100" w:type="dxa"/>
            </w:tcMar>
            <w:vAlign w:val="top"/>
          </w:tcPr>
          <w:p>
            <w:pPr>
              <w:spacing w:after="0" w:line="240" w:lineRule="auto"/>
            </w:pPr>
            <w:r>
              <w:rPr>
                <w:sz w:val="16"/>
              </w:rPr>
              <w:t>Qualifying order</w:t>
            </w:r>
          </w:p>
        </w:tc>
        <w:tc>
          <w:tcPr>
            <w:tcW w:type="dxa" w:w="3331"/>
            <w:tcMar>
              <w:top w:w="90" w:type="dxa"/>
              <w:start w:w="100" w:type="dxa"/>
              <w:bottom w:w="90" w:type="dxa"/>
              <w:end w:w="100" w:type="dxa"/>
            </w:tcMar>
            <w:vAlign w:val="top"/>
          </w:tcPr>
          <w:p>
            <w:pPr>
              <w:spacing w:after="0" w:line="240" w:lineRule="auto"/>
            </w:pPr>
            <w:r>
              <w:rPr>
                <w:sz w:val="16"/>
              </w:rPr>
              <w:t>Order meeting sponsor-approved status, refund, cancellation, and test-order rules.</w:t>
            </w:r>
          </w:p>
        </w:tc>
        <w:tc>
          <w:tcPr>
            <w:tcW w:type="dxa" w:w="3331"/>
            <w:tcMar>
              <w:top w:w="90" w:type="dxa"/>
              <w:start w:w="100" w:type="dxa"/>
              <w:bottom w:w="90" w:type="dxa"/>
              <w:end w:w="100" w:type="dxa"/>
            </w:tcMar>
            <w:vAlign w:val="top"/>
          </w:tcPr>
          <w:p>
            <w:pPr>
              <w:spacing w:after="0" w:line="240" w:lineRule="auto"/>
            </w:pPr>
            <w:r>
              <w:rPr>
                <w:sz w:val="16"/>
              </w:rPr>
              <w:t>Apply consistently across cohorts and periods.</w:t>
            </w:r>
          </w:p>
        </w:tc>
      </w:tr>
      <w:tr>
        <w:tc>
          <w:tcPr>
            <w:tcW w:type="dxa" w:w="3331"/>
            <w:shd w:fill="F3F5F7"/>
            <w:tcMar>
              <w:top w:w="90" w:type="dxa"/>
              <w:start w:w="100" w:type="dxa"/>
              <w:bottom w:w="90" w:type="dxa"/>
              <w:end w:w="100" w:type="dxa"/>
            </w:tcMar>
            <w:vAlign w:val="top"/>
          </w:tcPr>
          <w:p>
            <w:pPr>
              <w:spacing w:after="0" w:line="240" w:lineRule="auto"/>
            </w:pPr>
            <w:r>
              <w:rPr>
                <w:sz w:val="16"/>
              </w:rPr>
              <w:t>Repeat purchase</w:t>
            </w:r>
          </w:p>
        </w:tc>
        <w:tc>
          <w:tcPr>
            <w:tcW w:type="dxa" w:w="3331"/>
            <w:shd w:fill="F3F5F7"/>
            <w:tcMar>
              <w:top w:w="90" w:type="dxa"/>
              <w:start w:w="100" w:type="dxa"/>
              <w:bottom w:w="90" w:type="dxa"/>
              <w:end w:w="100" w:type="dxa"/>
            </w:tcMar>
            <w:vAlign w:val="top"/>
          </w:tcPr>
          <w:p>
            <w:pPr>
              <w:spacing w:after="0" w:line="240" w:lineRule="auto"/>
            </w:pPr>
            <w:r>
              <w:rPr>
                <w:sz w:val="16"/>
              </w:rPr>
              <w:t>At least one later qualifying order after the anchor purchase and within a stated horizon.</w:t>
            </w:r>
          </w:p>
        </w:tc>
        <w:tc>
          <w:tcPr>
            <w:tcW w:type="dxa" w:w="3331"/>
            <w:shd w:fill="F3F5F7"/>
            <w:tcMar>
              <w:top w:w="90" w:type="dxa"/>
              <w:start w:w="100" w:type="dxa"/>
              <w:bottom w:w="90" w:type="dxa"/>
              <w:end w:w="100" w:type="dxa"/>
            </w:tcMar>
            <w:vAlign w:val="top"/>
          </w:tcPr>
          <w:p>
            <w:pPr>
              <w:spacing w:after="0" w:line="240" w:lineRule="auto"/>
            </w:pPr>
            <w:r>
              <w:rPr>
                <w:sz w:val="16"/>
              </w:rPr>
              <w:t>Do not count cancelled/test orders; define treatment of returns.</w:t>
            </w:r>
          </w:p>
        </w:tc>
      </w:tr>
      <w:tr>
        <w:tc>
          <w:tcPr>
            <w:tcW w:type="dxa" w:w="3331"/>
            <w:tcMar>
              <w:top w:w="90" w:type="dxa"/>
              <w:start w:w="100" w:type="dxa"/>
              <w:bottom w:w="90" w:type="dxa"/>
              <w:end w:w="100" w:type="dxa"/>
            </w:tcMar>
            <w:vAlign w:val="top"/>
          </w:tcPr>
          <w:p>
            <w:pPr>
              <w:spacing w:after="0" w:line="240" w:lineRule="auto"/>
            </w:pPr>
            <w:r>
              <w:rPr>
                <w:sz w:val="16"/>
              </w:rPr>
              <w:t>90/180/365-day repeat rate</w:t>
            </w:r>
          </w:p>
        </w:tc>
        <w:tc>
          <w:tcPr>
            <w:tcW w:type="dxa" w:w="3331"/>
            <w:tcMar>
              <w:top w:w="90" w:type="dxa"/>
              <w:start w:w="100" w:type="dxa"/>
              <w:bottom w:w="90" w:type="dxa"/>
              <w:end w:w="100" w:type="dxa"/>
            </w:tcMar>
            <w:vAlign w:val="top"/>
          </w:tcPr>
          <w:p>
            <w:pPr>
              <w:spacing w:after="0" w:line="240" w:lineRule="auto"/>
            </w:pPr>
            <w:r>
              <w:rPr>
                <w:sz w:val="16"/>
              </w:rPr>
              <w:t>Eligible anchored customers with repeat in horizon ÷ anchored customers with complete follow-up through that horizon.</w:t>
            </w:r>
          </w:p>
        </w:tc>
        <w:tc>
          <w:tcPr>
            <w:tcW w:type="dxa" w:w="3331"/>
            <w:tcMar>
              <w:top w:w="90" w:type="dxa"/>
              <w:start w:w="100" w:type="dxa"/>
              <w:bottom w:w="90" w:type="dxa"/>
              <w:end w:w="100" w:type="dxa"/>
            </w:tcMar>
            <w:vAlign w:val="top"/>
          </w:tcPr>
          <w:p>
            <w:pPr>
              <w:spacing w:after="0" w:line="240" w:lineRule="auto"/>
            </w:pPr>
            <w:r>
              <w:rPr>
                <w:sz w:val="16"/>
              </w:rPr>
              <w:t>Exclude immature follow-up from denominator; report numerator and denominator.</w:t>
            </w:r>
          </w:p>
        </w:tc>
      </w:tr>
      <w:tr>
        <w:tc>
          <w:tcPr>
            <w:tcW w:type="dxa" w:w="3331"/>
            <w:shd w:fill="F3F5F7"/>
            <w:tcMar>
              <w:top w:w="90" w:type="dxa"/>
              <w:start w:w="100" w:type="dxa"/>
              <w:bottom w:w="90" w:type="dxa"/>
              <w:end w:w="100" w:type="dxa"/>
            </w:tcMar>
            <w:vAlign w:val="top"/>
          </w:tcPr>
          <w:p>
            <w:pPr>
              <w:spacing w:after="0" w:line="240" w:lineRule="auto"/>
            </w:pPr>
            <w:r>
              <w:rPr>
                <w:sz w:val="16"/>
              </w:rPr>
              <w:t>Time to second order</w:t>
            </w:r>
          </w:p>
        </w:tc>
        <w:tc>
          <w:tcPr>
            <w:tcW w:type="dxa" w:w="3331"/>
            <w:shd w:fill="F3F5F7"/>
            <w:tcMar>
              <w:top w:w="90" w:type="dxa"/>
              <w:start w:w="100" w:type="dxa"/>
              <w:bottom w:w="90" w:type="dxa"/>
              <w:end w:w="100" w:type="dxa"/>
            </w:tcMar>
            <w:vAlign w:val="top"/>
          </w:tcPr>
          <w:p>
            <w:pPr>
              <w:spacing w:after="0" w:line="240" w:lineRule="auto"/>
            </w:pPr>
            <w:r>
              <w:rPr>
                <w:sz w:val="16"/>
              </w:rPr>
              <w:t>Elapsed days from first to second qualifying order.</w:t>
            </w:r>
          </w:p>
        </w:tc>
        <w:tc>
          <w:tcPr>
            <w:tcW w:type="dxa" w:w="3331"/>
            <w:shd w:fill="F3F5F7"/>
            <w:tcMar>
              <w:top w:w="90" w:type="dxa"/>
              <w:start w:w="100" w:type="dxa"/>
              <w:bottom w:w="90" w:type="dxa"/>
              <w:end w:w="100" w:type="dxa"/>
            </w:tcMar>
            <w:vAlign w:val="top"/>
          </w:tcPr>
          <w:p>
            <w:pPr>
              <w:spacing w:after="0" w:line="240" w:lineRule="auto"/>
            </w:pPr>
            <w:r>
              <w:rPr>
                <w:sz w:val="16"/>
              </w:rPr>
              <w:t>Censor customers without a second observed order at last valid follow-up.</w:t>
            </w:r>
          </w:p>
        </w:tc>
      </w:tr>
      <w:tr>
        <w:tc>
          <w:tcPr>
            <w:tcW w:type="dxa" w:w="3331"/>
            <w:tcMar>
              <w:top w:w="90" w:type="dxa"/>
              <w:start w:w="100" w:type="dxa"/>
              <w:bottom w:w="90" w:type="dxa"/>
              <w:end w:w="100" w:type="dxa"/>
            </w:tcMar>
            <w:vAlign w:val="top"/>
          </w:tcPr>
          <w:p>
            <w:pPr>
              <w:spacing w:after="0" w:line="240" w:lineRule="auto"/>
            </w:pPr>
            <w:r>
              <w:rPr>
                <w:sz w:val="16"/>
              </w:rPr>
              <w:t>Net sales</w:t>
            </w:r>
          </w:p>
        </w:tc>
        <w:tc>
          <w:tcPr>
            <w:tcW w:type="dxa" w:w="3331"/>
            <w:tcMar>
              <w:top w:w="90" w:type="dxa"/>
              <w:start w:w="100" w:type="dxa"/>
              <w:bottom w:w="90" w:type="dxa"/>
              <w:end w:w="100" w:type="dxa"/>
            </w:tcMar>
            <w:vAlign w:val="top"/>
          </w:tcPr>
          <w:p>
            <w:pPr>
              <w:spacing w:after="0" w:line="240" w:lineRule="auto"/>
            </w:pPr>
            <w:r>
              <w:rPr>
                <w:sz w:val="16"/>
              </w:rPr>
              <w:t>Sales after agreed discount, refund, tax, shipping, and currency conventions.</w:t>
            </w:r>
          </w:p>
        </w:tc>
        <w:tc>
          <w:tcPr>
            <w:tcW w:type="dxa" w:w="3331"/>
            <w:tcMar>
              <w:top w:w="90" w:type="dxa"/>
              <w:start w:w="100" w:type="dxa"/>
              <w:bottom w:w="90" w:type="dxa"/>
              <w:end w:w="100" w:type="dxa"/>
            </w:tcMar>
            <w:vAlign w:val="top"/>
          </w:tcPr>
          <w:p>
            <w:pPr>
              <w:spacing w:after="0" w:line="240" w:lineRule="auto"/>
            </w:pPr>
            <w:r>
              <w:rPr>
                <w:sz w:val="16"/>
              </w:rPr>
              <w:t>Finance/data-owner confirmation required; reconcile totals.</w:t>
            </w:r>
          </w:p>
        </w:tc>
      </w:tr>
      <w:tr>
        <w:tc>
          <w:tcPr>
            <w:tcW w:type="dxa" w:w="3331"/>
            <w:shd w:fill="F3F5F7"/>
            <w:tcMar>
              <w:top w:w="90" w:type="dxa"/>
              <w:start w:w="100" w:type="dxa"/>
              <w:bottom w:w="90" w:type="dxa"/>
              <w:end w:w="100" w:type="dxa"/>
            </w:tcMar>
            <w:vAlign w:val="top"/>
          </w:tcPr>
          <w:p>
            <w:pPr>
              <w:spacing w:after="0" w:line="240" w:lineRule="auto"/>
            </w:pPr>
            <w:r>
              <w:rPr>
                <w:sz w:val="16"/>
              </w:rPr>
              <w:t>RFM features</w:t>
            </w:r>
          </w:p>
        </w:tc>
        <w:tc>
          <w:tcPr>
            <w:tcW w:type="dxa" w:w="3331"/>
            <w:shd w:fill="F3F5F7"/>
            <w:tcMar>
              <w:top w:w="90" w:type="dxa"/>
              <w:start w:w="100" w:type="dxa"/>
              <w:bottom w:w="90" w:type="dxa"/>
              <w:end w:w="100" w:type="dxa"/>
            </w:tcMar>
            <w:vAlign w:val="top"/>
          </w:tcPr>
          <w:p>
            <w:pPr>
              <w:spacing w:after="0" w:line="240" w:lineRule="auto"/>
            </w:pPr>
            <w:r>
              <w:rPr>
                <w:sz w:val="16"/>
              </w:rPr>
              <w:t>Recency, frequency, monetary value within a defined lookback and cutoff.</w:t>
            </w:r>
          </w:p>
        </w:tc>
        <w:tc>
          <w:tcPr>
            <w:tcW w:type="dxa" w:w="3331"/>
            <w:shd w:fill="F3F5F7"/>
            <w:tcMar>
              <w:top w:w="90" w:type="dxa"/>
              <w:start w:w="100" w:type="dxa"/>
              <w:bottom w:w="90" w:type="dxa"/>
              <w:end w:w="100" w:type="dxa"/>
            </w:tcMar>
            <w:vAlign w:val="top"/>
          </w:tcPr>
          <w:p>
            <w:pPr>
              <w:spacing w:after="0" w:line="240" w:lineRule="auto"/>
            </w:pPr>
            <w:r>
              <w:rPr>
                <w:sz w:val="16"/>
              </w:rPr>
              <w:t>Use fixed windows and only pre-cutoff events.</w:t>
            </w:r>
          </w:p>
        </w:tc>
      </w:tr>
    </w:tbl>
    <w:p>
      <w:pPr>
        <w:spacing w:after="20"/>
      </w:pPr>
    </w:p>
    <w:p>
      <w:pPr>
        <w:pStyle w:val="Heading2"/>
        <w:keepNext/>
      </w:pPr>
      <w:r>
        <w:t>5.1 Candidate variable families</w:t>
      </w:r>
    </w:p>
    <w:p>
      <w:pPr>
        <w:pStyle w:val="Caption"/>
        <w:keepNext/>
        <w:spacing w:before="60" w:after="60"/>
      </w:pPr>
      <w:r>
        <w:t>Table 11. Family / Examples / Use and caveat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vAlign w:val="center"/>
          </w:tcPr>
          <w:p>
            <w:pPr>
              <w:spacing w:after="0"/>
            </w:pPr>
            <w:r>
              <w:rPr>
                <w:b/>
                <w:color w:val="FFFFFF"/>
                <w:sz w:val="16"/>
              </w:rPr>
              <w:t>Family</w:t>
            </w:r>
          </w:p>
        </w:tc>
        <w:tc>
          <w:tcPr>
            <w:tcW w:type="dxa" w:w="3331"/>
            <w:shd w:fill="17324D"/>
            <w:tcMar>
              <w:top w:w="90" w:type="dxa"/>
              <w:start w:w="100" w:type="dxa"/>
              <w:bottom w:w="90" w:type="dxa"/>
              <w:end w:w="100" w:type="dxa"/>
            </w:tcMar>
            <w:vAlign w:val="center"/>
          </w:tcPr>
          <w:p>
            <w:pPr>
              <w:spacing w:after="0"/>
            </w:pPr>
            <w:r>
              <w:rPr>
                <w:b/>
                <w:color w:val="FFFFFF"/>
                <w:sz w:val="16"/>
              </w:rPr>
              <w:t>Examples</w:t>
            </w:r>
          </w:p>
        </w:tc>
        <w:tc>
          <w:tcPr>
            <w:tcW w:type="dxa" w:w="3331"/>
            <w:shd w:fill="17324D"/>
            <w:tcMar>
              <w:top w:w="90" w:type="dxa"/>
              <w:start w:w="100" w:type="dxa"/>
              <w:bottom w:w="90" w:type="dxa"/>
              <w:end w:w="100" w:type="dxa"/>
            </w:tcMar>
            <w:vAlign w:val="center"/>
          </w:tcPr>
          <w:p>
            <w:pPr>
              <w:spacing w:after="0"/>
            </w:pPr>
            <w:r>
              <w:rPr>
                <w:b/>
                <w:color w:val="FFFFFF"/>
                <w:sz w:val="16"/>
              </w:rPr>
              <w:t>Use and caveat</w:t>
            </w:r>
          </w:p>
        </w:tc>
      </w:tr>
      <w:tr>
        <w:tc>
          <w:tcPr>
            <w:tcW w:type="dxa" w:w="3331"/>
            <w:tcMar>
              <w:top w:w="90" w:type="dxa"/>
              <w:start w:w="100" w:type="dxa"/>
              <w:bottom w:w="90" w:type="dxa"/>
              <w:end w:w="100" w:type="dxa"/>
            </w:tcMar>
            <w:vAlign w:val="top"/>
          </w:tcPr>
          <w:p>
            <w:pPr>
              <w:spacing w:after="0" w:line="240" w:lineRule="auto"/>
            </w:pPr>
            <w:r>
              <w:rPr>
                <w:sz w:val="16"/>
              </w:rPr>
              <w:t>Keys and events</w:t>
            </w:r>
          </w:p>
        </w:tc>
        <w:tc>
          <w:tcPr>
            <w:tcW w:type="dxa" w:w="3331"/>
            <w:tcMar>
              <w:top w:w="90" w:type="dxa"/>
              <w:start w:w="100" w:type="dxa"/>
              <w:bottom w:w="90" w:type="dxa"/>
              <w:end w:w="100" w:type="dxa"/>
            </w:tcMar>
            <w:vAlign w:val="top"/>
          </w:tcPr>
          <w:p>
            <w:pPr>
              <w:spacing w:after="0" w:line="240" w:lineRule="auto"/>
            </w:pPr>
            <w:r>
              <w:rPr>
                <w:sz w:val="16"/>
              </w:rPr>
              <w:t>Pseudonymous customer ID, order ID, item-line ID, timestamp, status.</w:t>
            </w:r>
          </w:p>
        </w:tc>
        <w:tc>
          <w:tcPr>
            <w:tcW w:type="dxa" w:w="3331"/>
            <w:tcMar>
              <w:top w:w="90" w:type="dxa"/>
              <w:start w:w="100" w:type="dxa"/>
              <w:bottom w:w="90" w:type="dxa"/>
              <w:end w:w="100" w:type="dxa"/>
            </w:tcMar>
            <w:vAlign w:val="top"/>
          </w:tcPr>
          <w:p>
            <w:pPr>
              <w:spacing w:after="0" w:line="240" w:lineRule="auto"/>
            </w:pPr>
            <w:r>
              <w:rPr>
                <w:sz w:val="16"/>
              </w:rPr>
              <w:t>Validate grain and uniqueness; no direct identifiers in the analysis layer.</w:t>
            </w:r>
          </w:p>
        </w:tc>
      </w:tr>
      <w:tr>
        <w:tc>
          <w:tcPr>
            <w:tcW w:type="dxa" w:w="3331"/>
            <w:shd w:fill="F3F5F7"/>
            <w:tcMar>
              <w:top w:w="90" w:type="dxa"/>
              <w:start w:w="100" w:type="dxa"/>
              <w:bottom w:w="90" w:type="dxa"/>
              <w:end w:w="100" w:type="dxa"/>
            </w:tcMar>
            <w:vAlign w:val="top"/>
          </w:tcPr>
          <w:p>
            <w:pPr>
              <w:spacing w:after="0" w:line="240" w:lineRule="auto"/>
            </w:pPr>
            <w:r>
              <w:rPr>
                <w:sz w:val="16"/>
              </w:rPr>
              <w:t>Commercial</w:t>
            </w:r>
          </w:p>
        </w:tc>
        <w:tc>
          <w:tcPr>
            <w:tcW w:type="dxa" w:w="3331"/>
            <w:shd w:fill="F3F5F7"/>
            <w:tcMar>
              <w:top w:w="90" w:type="dxa"/>
              <w:start w:w="100" w:type="dxa"/>
              <w:bottom w:w="90" w:type="dxa"/>
              <w:end w:w="100" w:type="dxa"/>
            </w:tcMar>
            <w:vAlign w:val="top"/>
          </w:tcPr>
          <w:p>
            <w:pPr>
              <w:spacing w:after="0" w:line="240" w:lineRule="auto"/>
            </w:pPr>
            <w:r>
              <w:rPr>
                <w:sz w:val="16"/>
              </w:rPr>
              <w:t>Net sales, discount, refund, units, currency.</w:t>
            </w:r>
          </w:p>
        </w:tc>
        <w:tc>
          <w:tcPr>
            <w:tcW w:type="dxa" w:w="3331"/>
            <w:shd w:fill="F3F5F7"/>
            <w:tcMar>
              <w:top w:w="90" w:type="dxa"/>
              <w:start w:w="100" w:type="dxa"/>
              <w:bottom w:w="90" w:type="dxa"/>
              <w:end w:w="100" w:type="dxa"/>
            </w:tcMar>
            <w:vAlign w:val="top"/>
          </w:tcPr>
          <w:p>
            <w:pPr>
              <w:spacing w:after="0" w:line="240" w:lineRule="auto"/>
            </w:pPr>
            <w:r>
              <w:rPr>
                <w:sz w:val="16"/>
              </w:rPr>
              <w:t>Agree finance definitions; protect against invalid values and mixed currency.</w:t>
            </w:r>
          </w:p>
        </w:tc>
      </w:tr>
      <w:tr>
        <w:tc>
          <w:tcPr>
            <w:tcW w:type="dxa" w:w="3331"/>
            <w:tcMar>
              <w:top w:w="90" w:type="dxa"/>
              <w:start w:w="100" w:type="dxa"/>
              <w:bottom w:w="90" w:type="dxa"/>
              <w:end w:w="100" w:type="dxa"/>
            </w:tcMar>
            <w:vAlign w:val="top"/>
          </w:tcPr>
          <w:p>
            <w:pPr>
              <w:spacing w:after="0" w:line="240" w:lineRule="auto"/>
            </w:pPr>
            <w:r>
              <w:rPr>
                <w:sz w:val="16"/>
              </w:rPr>
              <w:t>Merchandise and channel</w:t>
            </w:r>
          </w:p>
        </w:tc>
        <w:tc>
          <w:tcPr>
            <w:tcW w:type="dxa" w:w="3331"/>
            <w:tcMar>
              <w:top w:w="90" w:type="dxa"/>
              <w:start w:w="100" w:type="dxa"/>
              <w:bottom w:w="90" w:type="dxa"/>
              <w:end w:w="100" w:type="dxa"/>
            </w:tcMar>
            <w:vAlign w:val="top"/>
          </w:tcPr>
          <w:p>
            <w:pPr>
              <w:spacing w:after="0" w:line="240" w:lineRule="auto"/>
            </w:pPr>
            <w:r>
              <w:rPr>
                <w:sz w:val="16"/>
              </w:rPr>
              <w:t>Product/SKU, approved category, channel.</w:t>
            </w:r>
          </w:p>
        </w:tc>
        <w:tc>
          <w:tcPr>
            <w:tcW w:type="dxa" w:w="3331"/>
            <w:tcMar>
              <w:top w:w="90" w:type="dxa"/>
              <w:start w:w="100" w:type="dxa"/>
              <w:bottom w:w="90" w:type="dxa"/>
              <w:end w:w="100" w:type="dxa"/>
            </w:tcMar>
            <w:vAlign w:val="top"/>
          </w:tcPr>
          <w:p>
            <w:pPr>
              <w:spacing w:after="0" w:line="240" w:lineRule="auto"/>
            </w:pPr>
            <w:r>
              <w:rPr>
                <w:sz w:val="16"/>
              </w:rPr>
              <w:t>Normalize mapping drift; include only at the granularity needed.</w:t>
            </w:r>
          </w:p>
        </w:tc>
      </w:tr>
      <w:tr>
        <w:tc>
          <w:tcPr>
            <w:tcW w:type="dxa" w:w="3331"/>
            <w:shd w:fill="F3F5F7"/>
            <w:tcMar>
              <w:top w:w="90" w:type="dxa"/>
              <w:start w:w="100" w:type="dxa"/>
              <w:bottom w:w="90" w:type="dxa"/>
              <w:end w:w="100" w:type="dxa"/>
            </w:tcMar>
            <w:vAlign w:val="top"/>
          </w:tcPr>
          <w:p>
            <w:pPr>
              <w:spacing w:after="0" w:line="240" w:lineRule="auto"/>
            </w:pPr>
            <w:r>
              <w:rPr>
                <w:sz w:val="16"/>
              </w:rPr>
              <w:t>Derived behavior</w:t>
            </w:r>
          </w:p>
        </w:tc>
        <w:tc>
          <w:tcPr>
            <w:tcW w:type="dxa" w:w="3331"/>
            <w:shd w:fill="F3F5F7"/>
            <w:tcMar>
              <w:top w:w="90" w:type="dxa"/>
              <w:start w:w="100" w:type="dxa"/>
              <w:bottom w:w="90" w:type="dxa"/>
              <w:end w:w="100" w:type="dxa"/>
            </w:tcMar>
            <w:vAlign w:val="top"/>
          </w:tcPr>
          <w:p>
            <w:pPr>
              <w:spacing w:after="0" w:line="240" w:lineRule="auto"/>
            </w:pPr>
            <w:r>
              <w:rPr>
                <w:sz w:val="16"/>
              </w:rPr>
              <w:t>Cohort, order count, recency, frequency, category breadth, repeat flags.</w:t>
            </w:r>
          </w:p>
        </w:tc>
        <w:tc>
          <w:tcPr>
            <w:tcW w:type="dxa" w:w="3331"/>
            <w:shd w:fill="F3F5F7"/>
            <w:tcMar>
              <w:top w:w="90" w:type="dxa"/>
              <w:start w:w="100" w:type="dxa"/>
              <w:bottom w:w="90" w:type="dxa"/>
              <w:end w:w="100" w:type="dxa"/>
            </w:tcMar>
            <w:vAlign w:val="top"/>
          </w:tcPr>
          <w:p>
            <w:pPr>
              <w:spacing w:after="0" w:line="240" w:lineRule="auto"/>
            </w:pPr>
            <w:r>
              <w:rPr>
                <w:sz w:val="16"/>
              </w:rPr>
              <w:t>Document windows, cutoffs, censoring, and history completeness.</w:t>
            </w:r>
          </w:p>
        </w:tc>
      </w:tr>
      <w:tr>
        <w:tc>
          <w:tcPr>
            <w:tcW w:type="dxa" w:w="3331"/>
            <w:tcMar>
              <w:top w:w="90" w:type="dxa"/>
              <w:start w:w="100" w:type="dxa"/>
              <w:bottom w:w="90" w:type="dxa"/>
              <w:end w:w="100" w:type="dxa"/>
            </w:tcMar>
            <w:vAlign w:val="top"/>
          </w:tcPr>
          <w:p>
            <w:pPr>
              <w:spacing w:after="0" w:line="240" w:lineRule="auto"/>
            </w:pPr>
            <w:r>
              <w:rPr>
                <w:sz w:val="16"/>
              </w:rPr>
              <w:t>Governance / optional</w:t>
            </w:r>
          </w:p>
        </w:tc>
        <w:tc>
          <w:tcPr>
            <w:tcW w:type="dxa" w:w="3331"/>
            <w:tcMar>
              <w:top w:w="90" w:type="dxa"/>
              <w:start w:w="100" w:type="dxa"/>
              <w:bottom w:w="90" w:type="dxa"/>
              <w:end w:w="100" w:type="dxa"/>
            </w:tcMar>
            <w:vAlign w:val="top"/>
          </w:tcPr>
          <w:p>
            <w:pPr>
              <w:spacing w:after="0" w:line="240" w:lineRule="auto"/>
            </w:pPr>
            <w:r>
              <w:rPr>
                <w:sz w:val="16"/>
              </w:rPr>
              <w:t>Coarse market, campaign assignment, channel-specific consent.</w:t>
            </w:r>
          </w:p>
        </w:tc>
        <w:tc>
          <w:tcPr>
            <w:tcW w:type="dxa" w:w="3331"/>
            <w:tcMar>
              <w:top w:w="90" w:type="dxa"/>
              <w:start w:w="100" w:type="dxa"/>
              <w:bottom w:w="90" w:type="dxa"/>
              <w:end w:w="100" w:type="dxa"/>
            </w:tcMar>
            <w:vAlign w:val="top"/>
          </w:tcPr>
          <w:p>
            <w:pPr>
              <w:spacing w:after="0" w:line="240" w:lineRule="auto"/>
            </w:pPr>
            <w:r>
              <w:rPr>
                <w:sz w:val="16"/>
              </w:rPr>
              <w:t>Restricted; include only when approved and essential to the question.</w:t>
            </w:r>
          </w:p>
        </w:tc>
      </w:tr>
    </w:tbl>
    <w:p>
      <w:pPr>
        <w:spacing w:after="20"/>
      </w:pPr>
    </w:p>
    <w:p>
      <w:pPr>
        <w:pStyle w:val="Heading2"/>
        <w:keepNext/>
      </w:pPr>
      <w:r>
        <w:t>5.2 Candidate data sources</w:t>
      </w:r>
    </w:p>
    <w:p>
      <w:pPr>
        <w:pStyle w:val="ListBullet"/>
        <w:spacing w:after="60"/>
      </w:pPr>
      <w:r>
        <w:t>Commerce/POS order and item-line exports for events, value, status, returns, product, and channel.</w:t>
      </w:r>
    </w:p>
    <w:p>
      <w:pPr>
        <w:pStyle w:val="ListBullet"/>
        <w:spacing w:after="60"/>
      </w:pPr>
      <w:r>
        <w:t>CRM/customer table for approved pseudonymous linkage and minimal account fields.</w:t>
      </w:r>
    </w:p>
    <w:p>
      <w:pPr>
        <w:pStyle w:val="ListBullet"/>
        <w:spacing w:after="60"/>
      </w:pPr>
      <w:r>
        <w:t>Product master and channel mapping for taxonomy versioning and historical consistency.</w:t>
      </w:r>
    </w:p>
    <w:p>
      <w:pPr>
        <w:pStyle w:val="ListBullet"/>
        <w:spacing w:after="60"/>
      </w:pPr>
      <w:r>
        <w:t>Campaign/contact and consent logs only when evaluating a separately approved marketing intervention.</w:t>
      </w:r>
    </w:p>
    <w:p>
      <w:pPr>
        <w:pStyle w:val="ListBullet"/>
        <w:spacing w:after="60"/>
      </w:pPr>
      <w:r>
        <w:t>Optional post-purchase survey or digital experience logs only if the sponsor needs customer-experience constructs and the instrument/events are approved; transaction history is not a satisfaction measure.</w:t>
      </w:r>
    </w:p>
    <w:p>
      <w:pPr>
        <w:pStyle w:val="ListBullet"/>
        <w:spacing w:after="60"/>
      </w:pPr>
      <w:r>
        <w:t>Data governance metadata for provenance, permitted purpose, timezone, refresh cadence, and retention.</w:t>
      </w:r>
    </w:p>
    <w:p>
      <w:pPr>
        <w:pStyle w:val="Heading2"/>
        <w:keepNext/>
      </w:pPr>
      <w:r>
        <w:t>5.3 Public dataset candidates and acquisition strategy</w:t>
      </w:r>
    </w:p>
    <w:p>
      <w:pPr>
        <w:pStyle w:val="Caption"/>
        <w:keepNext/>
        <w:spacing w:before="60" w:after="60"/>
      </w:pPr>
      <w:r>
        <w:t>Table 12. Candidate source / Fields / fit / Limitations, licensing, and access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vAlign w:val="center"/>
          </w:tcPr>
          <w:p>
            <w:pPr>
              <w:spacing w:after="0"/>
            </w:pPr>
            <w:r>
              <w:rPr>
                <w:b/>
                <w:color w:val="FFFFFF"/>
                <w:sz w:val="14"/>
              </w:rPr>
              <w:t>Candidate source</w:t>
            </w:r>
          </w:p>
        </w:tc>
        <w:tc>
          <w:tcPr>
            <w:tcW w:type="dxa" w:w="3331"/>
            <w:shd w:fill="17324D"/>
            <w:tcMar>
              <w:top w:w="90" w:type="dxa"/>
              <w:start w:w="100" w:type="dxa"/>
              <w:bottom w:w="90" w:type="dxa"/>
              <w:end w:w="100" w:type="dxa"/>
            </w:tcMar>
            <w:vAlign w:val="center"/>
          </w:tcPr>
          <w:p>
            <w:pPr>
              <w:spacing w:after="0"/>
            </w:pPr>
            <w:r>
              <w:rPr>
                <w:b/>
                <w:color w:val="FFFFFF"/>
                <w:sz w:val="14"/>
              </w:rPr>
              <w:t>Fields / fit</w:t>
            </w:r>
          </w:p>
        </w:tc>
        <w:tc>
          <w:tcPr>
            <w:tcW w:type="dxa" w:w="3331"/>
            <w:shd w:fill="17324D"/>
            <w:tcMar>
              <w:top w:w="90" w:type="dxa"/>
              <w:start w:w="100" w:type="dxa"/>
              <w:bottom w:w="90" w:type="dxa"/>
              <w:end w:w="100" w:type="dxa"/>
            </w:tcMar>
            <w:vAlign w:val="center"/>
          </w:tcPr>
          <w:p>
            <w:pPr>
              <w:spacing w:after="0"/>
            </w:pPr>
            <w:r>
              <w:rPr>
                <w:b/>
                <w:color w:val="FFFFFF"/>
                <w:sz w:val="14"/>
              </w:rPr>
              <w:t>Limitations, licensing, and access</w:t>
            </w:r>
          </w:p>
        </w:tc>
      </w:tr>
      <w:tr>
        <w:tc>
          <w:tcPr>
            <w:tcW w:type="dxa" w:w="3331"/>
            <w:tcMar>
              <w:top w:w="90" w:type="dxa"/>
              <w:start w:w="100" w:type="dxa"/>
              <w:bottom w:w="90" w:type="dxa"/>
              <w:end w:w="100" w:type="dxa"/>
            </w:tcMar>
            <w:vAlign w:val="top"/>
          </w:tcPr>
          <w:p>
            <w:pPr>
              <w:spacing w:after="0" w:line="240" w:lineRule="auto"/>
            </w:pPr>
            <w:r>
              <w:rPr>
                <w:sz w:val="14"/>
              </w:rPr>
              <w:t>UCI Machine Learning Repository, Online Retail II [11]</w:t>
            </w:r>
          </w:p>
        </w:tc>
        <w:tc>
          <w:tcPr>
            <w:tcW w:type="dxa" w:w="3331"/>
            <w:tcMar>
              <w:top w:w="90" w:type="dxa"/>
              <w:start w:w="100" w:type="dxa"/>
              <w:bottom w:w="90" w:type="dxa"/>
              <w:end w:w="100" w:type="dxa"/>
            </w:tcMar>
            <w:vAlign w:val="top"/>
          </w:tcPr>
          <w:p>
            <w:pPr>
              <w:spacing w:after="0" w:line="240" w:lineRule="auto"/>
            </w:pPr>
            <w:r>
              <w:rPr>
                <w:sz w:val="14"/>
              </w:rPr>
              <w:t>Official page describes invoice, item code/description, quantity, invoice date, unit price, customer ID, and country. The page therefore describes genuine retail transaction-level records suitable for demonstrating purchase-history methods if permitted.</w:t>
            </w:r>
          </w:p>
        </w:tc>
        <w:tc>
          <w:tcPr>
            <w:tcW w:type="dxa" w:w="3331"/>
            <w:tcMar>
              <w:top w:w="90" w:type="dxa"/>
              <w:start w:w="100" w:type="dxa"/>
              <w:bottom w:w="90" w:type="dxa"/>
              <w:end w:w="100" w:type="dxa"/>
            </w:tcMar>
            <w:vAlign w:val="top"/>
          </w:tcPr>
          <w:p>
            <w:pPr>
              <w:spacing w:after="0" w:line="240" w:lineRule="auto"/>
            </w:pPr>
            <w:r>
              <w:rPr>
                <w:sz w:val="14"/>
              </w:rPr>
              <w:t>Not identified as a beauty/wellness-specific retailer, so it cannot support beauty-market findings without justified product mapping. Check dataset-specific current license, attribution, access/download conditions, missing IDs, cancellation codes, and temporal representativeness before use.</w:t>
            </w:r>
          </w:p>
        </w:tc>
      </w:tr>
      <w:tr>
        <w:tc>
          <w:tcPr>
            <w:tcW w:type="dxa" w:w="3331"/>
            <w:shd w:fill="F3F5F7"/>
            <w:tcMar>
              <w:top w:w="90" w:type="dxa"/>
              <w:start w:w="100" w:type="dxa"/>
              <w:bottom w:w="90" w:type="dxa"/>
              <w:end w:w="100" w:type="dxa"/>
            </w:tcMar>
            <w:vAlign w:val="top"/>
          </w:tcPr>
          <w:p>
            <w:pPr>
              <w:spacing w:after="0" w:line="240" w:lineRule="auto"/>
            </w:pPr>
            <w:r>
              <w:rPr>
                <w:sz w:val="14"/>
              </w:rPr>
              <w:t>Amazon Reviews'23 project [12]</w:t>
            </w:r>
          </w:p>
        </w:tc>
        <w:tc>
          <w:tcPr>
            <w:tcW w:type="dxa" w:w="3331"/>
            <w:shd w:fill="F3F5F7"/>
            <w:tcMar>
              <w:top w:w="90" w:type="dxa"/>
              <w:start w:w="100" w:type="dxa"/>
              <w:bottom w:w="90" w:type="dxa"/>
              <w:end w:w="100" w:type="dxa"/>
            </w:tcMar>
            <w:vAlign w:val="top"/>
          </w:tcPr>
          <w:p>
            <w:pPr>
              <w:spacing w:after="0" w:line="240" w:lineRule="auto"/>
            </w:pPr>
            <w:r>
              <w:rPr>
                <w:sz w:val="14"/>
              </w:rPr>
              <w:t>Potential product-rating, review-text, and product metadata source for permitted descriptive review analysis where a relevant category/file is confirmed.</w:t>
            </w:r>
          </w:p>
        </w:tc>
        <w:tc>
          <w:tcPr>
            <w:tcW w:type="dxa" w:w="3331"/>
            <w:shd w:fill="F3F5F7"/>
            <w:tcMar>
              <w:top w:w="90" w:type="dxa"/>
              <w:start w:w="100" w:type="dxa"/>
              <w:bottom w:w="90" w:type="dxa"/>
              <w:end w:w="100" w:type="dxa"/>
            </w:tcMar>
            <w:vAlign w:val="top"/>
          </w:tcPr>
          <w:p>
            <w:pPr>
              <w:spacing w:after="0" w:line="240" w:lineRule="auto"/>
            </w:pPr>
            <w:r>
              <w:rPr>
                <w:sz w:val="14"/>
              </w:rPr>
              <w:t>Reviews are not linked customer purchase histories and cannot establish repeat transactions. Confirm exact field schema/category availability, access process, privacy implications, and reuse/license conditions manually before downloading or processing.</w:t>
            </w:r>
          </w:p>
        </w:tc>
      </w:tr>
      <w:tr>
        <w:tc>
          <w:tcPr>
            <w:tcW w:type="dxa" w:w="3331"/>
            <w:tcMar>
              <w:top w:w="90" w:type="dxa"/>
              <w:start w:w="100" w:type="dxa"/>
              <w:bottom w:w="90" w:type="dxa"/>
              <w:end w:w="100" w:type="dxa"/>
            </w:tcMar>
            <w:vAlign w:val="top"/>
          </w:tcPr>
          <w:p>
            <w:pPr>
              <w:spacing w:after="0" w:line="240" w:lineRule="auto"/>
            </w:pPr>
            <w:r>
              <w:rPr>
                <w:sz w:val="14"/>
              </w:rPr>
              <w:t>Approved company transaction/CRM extract</w:t>
            </w:r>
          </w:p>
        </w:tc>
        <w:tc>
          <w:tcPr>
            <w:tcW w:type="dxa" w:w="3331"/>
            <w:tcMar>
              <w:top w:w="90" w:type="dxa"/>
              <w:start w:w="100" w:type="dxa"/>
              <w:bottom w:w="90" w:type="dxa"/>
              <w:end w:w="100" w:type="dxa"/>
            </w:tcMar>
            <w:vAlign w:val="top"/>
          </w:tcPr>
          <w:p>
            <w:pPr>
              <w:spacing w:after="0" w:line="240" w:lineRule="auto"/>
            </w:pPr>
            <w:r>
              <w:rPr>
                <w:sz w:val="14"/>
              </w:rPr>
              <w:t>Best fit for retailer-specific repeat purchasing if distinct customer/order keys, dates, order outcomes, and sufficient history are available.</w:t>
            </w:r>
          </w:p>
        </w:tc>
        <w:tc>
          <w:tcPr>
            <w:tcW w:type="dxa" w:w="3331"/>
            <w:tcMar>
              <w:top w:w="90" w:type="dxa"/>
              <w:start w:w="100" w:type="dxa"/>
              <w:bottom w:w="90" w:type="dxa"/>
              <w:end w:w="100" w:type="dxa"/>
            </w:tcMar>
            <w:vAlign w:val="top"/>
          </w:tcPr>
          <w:p>
            <w:pPr>
              <w:spacing w:after="0" w:line="240" w:lineRule="auto"/>
            </w:pPr>
            <w:r>
              <w:rPr>
                <w:sz w:val="14"/>
              </w:rPr>
              <w:t>Requires sponsor/data-owner approval, purpose/permission review, secure handling, field minimization, access controls, and an agreed retention/deletion plan.</w:t>
            </w:r>
          </w:p>
        </w:tc>
      </w:tr>
      <w:tr>
        <w:tc>
          <w:tcPr>
            <w:tcW w:type="dxa" w:w="3331"/>
            <w:shd w:fill="F3F5F7"/>
            <w:tcMar>
              <w:top w:w="90" w:type="dxa"/>
              <w:start w:w="100" w:type="dxa"/>
              <w:bottom w:w="90" w:type="dxa"/>
              <w:end w:w="100" w:type="dxa"/>
            </w:tcMar>
            <w:vAlign w:val="top"/>
          </w:tcPr>
          <w:p>
            <w:pPr>
              <w:spacing w:after="0" w:line="240" w:lineRule="auto"/>
            </w:pPr>
            <w:r>
              <w:rPr>
                <w:sz w:val="14"/>
              </w:rPr>
              <w:t>Approved surveys and permitted review/social listening</w:t>
            </w:r>
          </w:p>
        </w:tc>
        <w:tc>
          <w:tcPr>
            <w:tcW w:type="dxa" w:w="3331"/>
            <w:shd w:fill="F3F5F7"/>
            <w:tcMar>
              <w:top w:w="90" w:type="dxa"/>
              <w:start w:w="100" w:type="dxa"/>
              <w:bottom w:w="90" w:type="dxa"/>
              <w:end w:w="100" w:type="dxa"/>
            </w:tcMar>
            <w:vAlign w:val="top"/>
          </w:tcPr>
          <w:p>
            <w:pPr>
              <w:spacing w:after="0" w:line="240" w:lineRule="auto"/>
            </w:pPr>
            <w:r>
              <w:rPr>
                <w:sz w:val="14"/>
              </w:rPr>
              <w:t>Could contribute satisfaction, ratings, or permitted public text signals if instruments, linkage, and purpose fit the question.</w:t>
            </w:r>
          </w:p>
        </w:tc>
        <w:tc>
          <w:tcPr>
            <w:tcW w:type="dxa" w:w="3331"/>
            <w:shd w:fill="F3F5F7"/>
            <w:tcMar>
              <w:top w:w="90" w:type="dxa"/>
              <w:start w:w="100" w:type="dxa"/>
              <w:bottom w:w="90" w:type="dxa"/>
              <w:end w:w="100" w:type="dxa"/>
            </w:tcMar>
            <w:vAlign w:val="top"/>
          </w:tcPr>
          <w:p>
            <w:pPr>
              <w:spacing w:after="0" w:line="240" w:lineRule="auto"/>
            </w:pPr>
            <w:r>
              <w:rPr>
                <w:sz w:val="14"/>
              </w:rPr>
              <w:t>Response/selection bias; non-transaction data do not prove purchasing. Do not scrape or reuse restricted platform data; check terms, consent, copyright, and applicable privacy rules.</w:t>
            </w:r>
          </w:p>
        </w:tc>
      </w:tr>
    </w:tbl>
    <w:p>
      <w:pPr>
        <w:spacing w:after="20"/>
      </w:pPr>
    </w:p>
    <w:tbl>
      <w:tblPr>
        <w:tblW w:type="auto" w:w="0"/>
        <w:jc w:val="center"/>
        <w:tblLook w:firstColumn="1" w:firstRow="1" w:lastColumn="0" w:lastRow="0" w:noHBand="0" w:noVBand="1" w:val="04A0"/>
      </w:tblPr>
      <w:tblGrid>
        <w:gridCol w:w="9994"/>
      </w:tblGrid>
      <w:tr>
        <w:tc>
          <w:tcPr>
            <w:tcW w:type="dxa" w:w="9994"/>
            <w:shd w:fill="E8F4F3"/>
            <w:tcMar>
              <w:top w:w="150" w:type="dxa"/>
              <w:start w:w="180" w:type="dxa"/>
              <w:bottom w:w="150" w:type="dxa"/>
              <w:end w:w="180" w:type="dxa"/>
            </w:tcMar>
          </w:tcPr>
          <w:p>
            <w:pPr>
              <w:spacing w:after="0"/>
            </w:pPr>
            <w:r>
              <w:rPr>
                <w:b/>
                <w:color w:val="138A8A"/>
              </w:rPr>
              <w:t xml:space="preserve">DATA AVAILABILITY  </w:t>
            </w:r>
            <w:r>
              <w:t>No public dataset was downloaded or analyzed for this project. These are candidate sources, not evidence underlying the report. Check current licenses and access terms before any reuse.</w:t>
            </w:r>
          </w:p>
        </w:tc>
      </w:tr>
    </w:tbl>
    <w:p>
      <w:pPr>
        <w:spacing w:after="0"/>
      </w:pPr>
    </w:p>
    <w:p>
      <w:pPr>
        <w:pStyle w:val="Heading1"/>
        <w:keepNext/>
      </w:pPr>
      <w:r>
        <w:t>6. Data readiness, limitations, and privacy</w:t>
      </w:r>
    </w:p>
    <w:p>
      <w:pPr>
        <w:pStyle w:val="Heading2"/>
        <w:keepNext/>
      </w:pPr>
      <w:r>
        <w:t>6.1 Data limitations and quality risks</w:t>
      </w:r>
    </w:p>
    <w:p>
      <w:pPr>
        <w:pStyle w:val="Caption"/>
        <w:keepNext/>
        <w:spacing w:before="60" w:after="60"/>
      </w:pPr>
      <w:r>
        <w:t>Table 13. Risk / Potential impact / Planned check or treatment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vAlign w:val="center"/>
          </w:tcPr>
          <w:p>
            <w:pPr>
              <w:spacing w:after="0"/>
            </w:pPr>
            <w:r>
              <w:rPr>
                <w:b/>
                <w:color w:val="FFFFFF"/>
                <w:sz w:val="16"/>
              </w:rPr>
              <w:t>Risk</w:t>
            </w:r>
          </w:p>
        </w:tc>
        <w:tc>
          <w:tcPr>
            <w:tcW w:type="dxa" w:w="3331"/>
            <w:shd w:fill="17324D"/>
            <w:tcMar>
              <w:top w:w="90" w:type="dxa"/>
              <w:start w:w="100" w:type="dxa"/>
              <w:bottom w:w="90" w:type="dxa"/>
              <w:end w:w="100" w:type="dxa"/>
            </w:tcMar>
            <w:vAlign w:val="center"/>
          </w:tcPr>
          <w:p>
            <w:pPr>
              <w:spacing w:after="0"/>
            </w:pPr>
            <w:r>
              <w:rPr>
                <w:b/>
                <w:color w:val="FFFFFF"/>
                <w:sz w:val="16"/>
              </w:rPr>
              <w:t>Potential impact</w:t>
            </w:r>
          </w:p>
        </w:tc>
        <w:tc>
          <w:tcPr>
            <w:tcW w:type="dxa" w:w="3331"/>
            <w:shd w:fill="17324D"/>
            <w:tcMar>
              <w:top w:w="90" w:type="dxa"/>
              <w:start w:w="100" w:type="dxa"/>
              <w:bottom w:w="90" w:type="dxa"/>
              <w:end w:w="100" w:type="dxa"/>
            </w:tcMar>
            <w:vAlign w:val="center"/>
          </w:tcPr>
          <w:p>
            <w:pPr>
              <w:spacing w:after="0"/>
            </w:pPr>
            <w:r>
              <w:rPr>
                <w:b/>
                <w:color w:val="FFFFFF"/>
                <w:sz w:val="16"/>
              </w:rPr>
              <w:t>Planned check or treatment</w:t>
            </w:r>
          </w:p>
        </w:tc>
      </w:tr>
      <w:tr>
        <w:tc>
          <w:tcPr>
            <w:tcW w:type="dxa" w:w="3331"/>
            <w:tcMar>
              <w:top w:w="90" w:type="dxa"/>
              <w:start w:w="100" w:type="dxa"/>
              <w:bottom w:w="90" w:type="dxa"/>
              <w:end w:w="100" w:type="dxa"/>
            </w:tcMar>
            <w:vAlign w:val="top"/>
          </w:tcPr>
          <w:p>
            <w:pPr>
              <w:spacing w:after="0" w:line="240" w:lineRule="auto"/>
            </w:pPr>
            <w:r>
              <w:rPr>
                <w:sz w:val="16"/>
              </w:rPr>
              <w:t>Incomplete history / left truncation</w:t>
            </w:r>
          </w:p>
        </w:tc>
        <w:tc>
          <w:tcPr>
            <w:tcW w:type="dxa" w:w="3331"/>
            <w:tcMar>
              <w:top w:w="90" w:type="dxa"/>
              <w:start w:w="100" w:type="dxa"/>
              <w:bottom w:w="90" w:type="dxa"/>
              <w:end w:w="100" w:type="dxa"/>
            </w:tcMar>
            <w:vAlign w:val="top"/>
          </w:tcPr>
          <w:p>
            <w:pPr>
              <w:spacing w:after="0" w:line="240" w:lineRule="auto"/>
            </w:pPr>
            <w:r>
              <w:rPr>
                <w:sz w:val="16"/>
              </w:rPr>
              <w:t>First observed order may not be true acquisition; repeat rates can be biased.</w:t>
            </w:r>
          </w:p>
        </w:tc>
        <w:tc>
          <w:tcPr>
            <w:tcW w:type="dxa" w:w="3331"/>
            <w:tcMar>
              <w:top w:w="90" w:type="dxa"/>
              <w:start w:w="100" w:type="dxa"/>
              <w:bottom w:w="90" w:type="dxa"/>
              <w:end w:w="100" w:type="dxa"/>
            </w:tcMar>
            <w:vAlign w:val="top"/>
          </w:tcPr>
          <w:p>
            <w:pPr>
              <w:spacing w:after="0" w:line="240" w:lineRule="auto"/>
            </w:pPr>
            <w:r>
              <w:rPr>
                <w:sz w:val="16"/>
              </w:rPr>
              <w:t>Establish history start; qualify first-observed customers; use eligible follow-up.</w:t>
            </w:r>
          </w:p>
        </w:tc>
      </w:tr>
      <w:tr>
        <w:tc>
          <w:tcPr>
            <w:tcW w:type="dxa" w:w="3331"/>
            <w:shd w:fill="F3F5F7"/>
            <w:tcMar>
              <w:top w:w="90" w:type="dxa"/>
              <w:start w:w="100" w:type="dxa"/>
              <w:bottom w:w="90" w:type="dxa"/>
              <w:end w:w="100" w:type="dxa"/>
            </w:tcMar>
            <w:vAlign w:val="top"/>
          </w:tcPr>
          <w:p>
            <w:pPr>
              <w:spacing w:after="0" w:line="240" w:lineRule="auto"/>
            </w:pPr>
            <w:r>
              <w:rPr>
                <w:sz w:val="16"/>
              </w:rPr>
              <w:t>Unequal follow-up / right censoring</w:t>
            </w:r>
          </w:p>
        </w:tc>
        <w:tc>
          <w:tcPr>
            <w:tcW w:type="dxa" w:w="3331"/>
            <w:shd w:fill="F3F5F7"/>
            <w:tcMar>
              <w:top w:w="90" w:type="dxa"/>
              <w:start w:w="100" w:type="dxa"/>
              <w:bottom w:w="90" w:type="dxa"/>
              <w:end w:w="100" w:type="dxa"/>
            </w:tcMar>
            <w:vAlign w:val="top"/>
          </w:tcPr>
          <w:p>
            <w:pPr>
              <w:spacing w:after="0" w:line="240" w:lineRule="auto"/>
            </w:pPr>
            <w:r>
              <w:rPr>
                <w:sz w:val="16"/>
              </w:rPr>
              <w:t>Recent cohorts have less time to repeat.</w:t>
            </w:r>
          </w:p>
        </w:tc>
        <w:tc>
          <w:tcPr>
            <w:tcW w:type="dxa" w:w="3331"/>
            <w:shd w:fill="F3F5F7"/>
            <w:tcMar>
              <w:top w:w="90" w:type="dxa"/>
              <w:start w:w="100" w:type="dxa"/>
              <w:bottom w:w="90" w:type="dxa"/>
              <w:end w:w="100" w:type="dxa"/>
            </w:tcMar>
            <w:vAlign w:val="top"/>
          </w:tcPr>
          <w:p>
            <w:pPr>
              <w:spacing w:after="0" w:line="240" w:lineRule="auto"/>
            </w:pPr>
            <w:r>
              <w:rPr>
                <w:sz w:val="16"/>
              </w:rPr>
              <w:t>Use horizon-specific complete-follow-up denominators; censor time-to-event analysis.</w:t>
            </w:r>
          </w:p>
        </w:tc>
      </w:tr>
      <w:tr>
        <w:tc>
          <w:tcPr>
            <w:tcW w:type="dxa" w:w="3331"/>
            <w:tcMar>
              <w:top w:w="90" w:type="dxa"/>
              <w:start w:w="100" w:type="dxa"/>
              <w:bottom w:w="90" w:type="dxa"/>
              <w:end w:w="100" w:type="dxa"/>
            </w:tcMar>
            <w:vAlign w:val="top"/>
          </w:tcPr>
          <w:p>
            <w:pPr>
              <w:spacing w:after="0" w:line="240" w:lineRule="auto"/>
            </w:pPr>
            <w:r>
              <w:rPr>
                <w:sz w:val="16"/>
              </w:rPr>
              <w:t>Identity gaps or duplicate records</w:t>
            </w:r>
          </w:p>
        </w:tc>
        <w:tc>
          <w:tcPr>
            <w:tcW w:type="dxa" w:w="3331"/>
            <w:tcMar>
              <w:top w:w="90" w:type="dxa"/>
              <w:start w:w="100" w:type="dxa"/>
              <w:bottom w:w="90" w:type="dxa"/>
              <w:end w:w="100" w:type="dxa"/>
            </w:tcMar>
            <w:vAlign w:val="top"/>
          </w:tcPr>
          <w:p>
            <w:pPr>
              <w:spacing w:after="0" w:line="240" w:lineRule="auto"/>
            </w:pPr>
            <w:r>
              <w:rPr>
                <w:sz w:val="16"/>
              </w:rPr>
              <w:t>Orders split across or combined between customers.</w:t>
            </w:r>
          </w:p>
        </w:tc>
        <w:tc>
          <w:tcPr>
            <w:tcW w:type="dxa" w:w="3331"/>
            <w:tcMar>
              <w:top w:w="90" w:type="dxa"/>
              <w:start w:w="100" w:type="dxa"/>
              <w:bottom w:w="90" w:type="dxa"/>
              <w:end w:w="100" w:type="dxa"/>
            </w:tcMar>
            <w:vAlign w:val="top"/>
          </w:tcPr>
          <w:p>
            <w:pPr>
              <w:spacing w:after="0" w:line="240" w:lineRule="auto"/>
            </w:pPr>
            <w:r>
              <w:rPr>
                <w:sz w:val="16"/>
              </w:rPr>
              <w:t>Validate keys, duplicates, merge rules, and linkage approval.</w:t>
            </w:r>
          </w:p>
        </w:tc>
      </w:tr>
      <w:tr>
        <w:tc>
          <w:tcPr>
            <w:tcW w:type="dxa" w:w="3331"/>
            <w:shd w:fill="F3F5F7"/>
            <w:tcMar>
              <w:top w:w="90" w:type="dxa"/>
              <w:start w:w="100" w:type="dxa"/>
              <w:bottom w:w="90" w:type="dxa"/>
              <w:end w:w="100" w:type="dxa"/>
            </w:tcMar>
            <w:vAlign w:val="top"/>
          </w:tcPr>
          <w:p>
            <w:pPr>
              <w:spacing w:after="0" w:line="240" w:lineRule="auto"/>
            </w:pPr>
            <w:r>
              <w:rPr>
                <w:sz w:val="16"/>
              </w:rPr>
              <w:t>Returns, cancellations, test orders</w:t>
            </w:r>
          </w:p>
        </w:tc>
        <w:tc>
          <w:tcPr>
            <w:tcW w:type="dxa" w:w="3331"/>
            <w:shd w:fill="F3F5F7"/>
            <w:tcMar>
              <w:top w:w="90" w:type="dxa"/>
              <w:start w:w="100" w:type="dxa"/>
              <w:bottom w:w="90" w:type="dxa"/>
              <w:end w:w="100" w:type="dxa"/>
            </w:tcMar>
            <w:vAlign w:val="top"/>
          </w:tcPr>
          <w:p>
            <w:pPr>
              <w:spacing w:after="0" w:line="240" w:lineRule="auto"/>
            </w:pPr>
            <w:r>
              <w:rPr>
                <w:sz w:val="16"/>
              </w:rPr>
              <w:t>Inflated counts or misleading monetary measures.</w:t>
            </w:r>
          </w:p>
        </w:tc>
        <w:tc>
          <w:tcPr>
            <w:tcW w:type="dxa" w:w="3331"/>
            <w:shd w:fill="F3F5F7"/>
            <w:tcMar>
              <w:top w:w="90" w:type="dxa"/>
              <w:start w:w="100" w:type="dxa"/>
              <w:bottom w:w="90" w:type="dxa"/>
              <w:end w:w="100" w:type="dxa"/>
            </w:tcMar>
            <w:vAlign w:val="top"/>
          </w:tcPr>
          <w:p>
            <w:pPr>
              <w:spacing w:after="0" w:line="240" w:lineRule="auto"/>
            </w:pPr>
            <w:r>
              <w:rPr>
                <w:sz w:val="16"/>
              </w:rPr>
              <w:t>Document exclusions and reconcile order/refund conventions.</w:t>
            </w:r>
          </w:p>
        </w:tc>
      </w:tr>
      <w:tr>
        <w:tc>
          <w:tcPr>
            <w:tcW w:type="dxa" w:w="3331"/>
            <w:tcMar>
              <w:top w:w="90" w:type="dxa"/>
              <w:start w:w="100" w:type="dxa"/>
              <w:bottom w:w="90" w:type="dxa"/>
              <w:end w:w="100" w:type="dxa"/>
            </w:tcMar>
            <w:vAlign w:val="top"/>
          </w:tcPr>
          <w:p>
            <w:pPr>
              <w:spacing w:after="0" w:line="240" w:lineRule="auto"/>
            </w:pPr>
            <w:r>
              <w:rPr>
                <w:sz w:val="16"/>
              </w:rPr>
              <w:t>Taxonomy, channel, currency drift</w:t>
            </w:r>
          </w:p>
        </w:tc>
        <w:tc>
          <w:tcPr>
            <w:tcW w:type="dxa" w:w="3331"/>
            <w:tcMar>
              <w:top w:w="90" w:type="dxa"/>
              <w:start w:w="100" w:type="dxa"/>
              <w:bottom w:w="90" w:type="dxa"/>
              <w:end w:w="100" w:type="dxa"/>
            </w:tcMar>
            <w:vAlign w:val="top"/>
          </w:tcPr>
          <w:p>
            <w:pPr>
              <w:spacing w:after="0" w:line="240" w:lineRule="auto"/>
            </w:pPr>
            <w:r>
              <w:rPr>
                <w:sz w:val="16"/>
              </w:rPr>
              <w:t>False subgroup differences and invalid aggregation.</w:t>
            </w:r>
          </w:p>
        </w:tc>
        <w:tc>
          <w:tcPr>
            <w:tcW w:type="dxa" w:w="3331"/>
            <w:tcMar>
              <w:top w:w="90" w:type="dxa"/>
              <w:start w:w="100" w:type="dxa"/>
              <w:bottom w:w="90" w:type="dxa"/>
              <w:end w:w="100" w:type="dxa"/>
            </w:tcMar>
            <w:vAlign w:val="top"/>
          </w:tcPr>
          <w:p>
            <w:pPr>
              <w:spacing w:after="0" w:line="240" w:lineRule="auto"/>
            </w:pPr>
            <w:r>
              <w:rPr>
                <w:sz w:val="16"/>
              </w:rPr>
              <w:t>Version mapping, normalize labels, and document FX convention.</w:t>
            </w:r>
          </w:p>
        </w:tc>
      </w:tr>
      <w:tr>
        <w:tc>
          <w:tcPr>
            <w:tcW w:type="dxa" w:w="3331"/>
            <w:shd w:fill="F3F5F7"/>
            <w:tcMar>
              <w:top w:w="90" w:type="dxa"/>
              <w:start w:w="100" w:type="dxa"/>
              <w:bottom w:w="90" w:type="dxa"/>
              <w:end w:w="100" w:type="dxa"/>
            </w:tcMar>
            <w:vAlign w:val="top"/>
          </w:tcPr>
          <w:p>
            <w:pPr>
              <w:spacing w:after="0" w:line="240" w:lineRule="auto"/>
            </w:pPr>
            <w:r>
              <w:rPr>
                <w:sz w:val="16"/>
              </w:rPr>
              <w:t>Campaign selection bias</w:t>
            </w:r>
          </w:p>
        </w:tc>
        <w:tc>
          <w:tcPr>
            <w:tcW w:type="dxa" w:w="3331"/>
            <w:shd w:fill="F3F5F7"/>
            <w:tcMar>
              <w:top w:w="90" w:type="dxa"/>
              <w:start w:w="100" w:type="dxa"/>
              <w:bottom w:w="90" w:type="dxa"/>
              <w:end w:w="100" w:type="dxa"/>
            </w:tcMar>
            <w:vAlign w:val="top"/>
          </w:tcPr>
          <w:p>
            <w:pPr>
              <w:spacing w:after="0" w:line="240" w:lineRule="auto"/>
            </w:pPr>
            <w:r>
              <w:rPr>
                <w:sz w:val="16"/>
              </w:rPr>
              <w:t>Recipients differ from non-recipients before contact.</w:t>
            </w:r>
          </w:p>
        </w:tc>
        <w:tc>
          <w:tcPr>
            <w:tcW w:type="dxa" w:w="3331"/>
            <w:shd w:fill="F3F5F7"/>
            <w:tcMar>
              <w:top w:w="90" w:type="dxa"/>
              <w:start w:w="100" w:type="dxa"/>
              <w:bottom w:w="90" w:type="dxa"/>
              <w:end w:w="100" w:type="dxa"/>
            </w:tcMar>
            <w:vAlign w:val="top"/>
          </w:tcPr>
          <w:p>
            <w:pPr>
              <w:spacing w:after="0" w:line="240" w:lineRule="auto"/>
            </w:pPr>
            <w:r>
              <w:rPr>
                <w:sz w:val="16"/>
              </w:rPr>
              <w:t>Do not claim lift from observational comparisons; use holdout/randomization.</w:t>
            </w:r>
          </w:p>
        </w:tc>
      </w:tr>
    </w:tbl>
    <w:p>
      <w:pPr>
        <w:spacing w:after="20"/>
      </w:pPr>
    </w:p>
    <w:p>
      <w:pPr>
        <w:pStyle w:val="Heading2"/>
        <w:keepNext/>
      </w:pPr>
      <w:r>
        <w:t>6.2 Privacy and responsible use</w:t>
      </w:r>
    </w:p>
    <w:p>
      <w:pPr>
        <w:spacing w:after="120" w:line="259" w:lineRule="auto"/>
      </w:pPr>
      <w:r>
        <w:t>Before access, confirm the approved purpose, permissions or lawful basis, minimum necessary fields, geography, retention/deletion schedule, and authorized users with the data owner and privacy/legal stakeholders. Use least-privilege access, secure transfer and storage, audit logging, pseudonymous IDs, and small-cell suppression. Purchase history is not marketing consent.</w:t>
      </w:r>
    </w:p>
    <w:p>
      <w:pPr>
        <w:spacing w:after="120" w:line="259" w:lineRule="auto"/>
      </w:pPr>
      <w:r>
        <w:t>Precise location and sensitive health, skin, or treatment attributes are excluded by default. Do not infer sensitive traits from purchases. Review applicable privacy, consumer-protection, and marketing rules with qualified stakeholders; this plan is a safeguard checklist, not a legal-compliance opinion. Evaluate error rates and customer impacts across relevant groups and avoid exclusionary targeting.</w:t>
      </w:r>
    </w:p>
    <w:p>
      <w:r>
        <w:br w:type="page"/>
      </w:r>
    </w:p>
    <w:p>
      <w:pPr>
        <w:pStyle w:val="Heading1"/>
        <w:keepNext/>
      </w:pPr>
      <w:r>
        <w:t>7. Exploratory data analysis roadmap</w:t>
      </w:r>
    </w:p>
    <w:p>
      <w:pPr>
        <w:spacing w:after="120" w:line="259" w:lineRule="auto"/>
      </w:pPr>
      <w:r>
        <w:t>The EDA starts with quality and denominators, not attractive charts. The analysis should use pandas and NumPy for validation and summaries, then Matplotlib and Seaborn for readable visual checks. No chart or statistic is generated in this planning project because no customer dataset was supplied.</w:t>
      </w:r>
    </w:p>
    <w:p>
      <w:pPr>
        <w:pStyle w:val="Heading2"/>
        <w:keepNext/>
      </w:pPr>
      <w:r>
        <w:t>7.1 Ten-phase workflow</w:t>
      </w:r>
    </w:p>
    <w:p>
      <w:pPr>
        <w:pStyle w:val="ListBullet"/>
        <w:spacing w:after="60"/>
      </w:pPr>
      <w:r>
        <w:t>Phase 1: Business understanding and literature review.</w:t>
      </w:r>
    </w:p>
    <w:p>
      <w:pPr>
        <w:pStyle w:val="ListBullet"/>
        <w:spacing w:after="60"/>
      </w:pPr>
      <w:r>
        <w:t>Phase 2: Data-source identification, permission/licensing review, and authorized acquisition.</w:t>
      </w:r>
    </w:p>
    <w:p>
      <w:pPr>
        <w:pStyle w:val="ListBullet"/>
        <w:spacing w:after="60"/>
      </w:pPr>
      <w:r>
        <w:t>Phase 3: Variable dictionary, qualifying transaction, prediction cutoff, and target definition.</w:t>
      </w:r>
    </w:p>
    <w:p>
      <w:pPr>
        <w:pStyle w:val="ListBullet"/>
        <w:spacing w:after="60"/>
      </w:pPr>
      <w:r>
        <w:t>Phase 4: Data-quality assessment and source reconciliation.</w:t>
      </w:r>
    </w:p>
    <w:p>
      <w:pPr>
        <w:pStyle w:val="ListBullet"/>
        <w:spacing w:after="60"/>
      </w:pPr>
      <w:r>
        <w:t>Phase 5: Documented cleaning and preprocessing with an exclusion ledger.</w:t>
      </w:r>
    </w:p>
    <w:p>
      <w:pPr>
        <w:pStyle w:val="ListBullet"/>
        <w:spacing w:after="60"/>
      </w:pPr>
      <w:r>
        <w:t>Phase 6: Exploratory data analysis and cohort/segment readiness assessment.</w:t>
      </w:r>
    </w:p>
    <w:p>
      <w:pPr>
        <w:pStyle w:val="ListBullet"/>
        <w:spacing w:after="60"/>
      </w:pPr>
      <w:r>
        <w:t>Phase 7: Pre-specified hypothesis testing where data assumptions support it.</w:t>
      </w:r>
    </w:p>
    <w:p>
      <w:pPr>
        <w:pStyle w:val="ListBullet"/>
        <w:spacing w:after="60"/>
      </w:pPr>
      <w:r>
        <w:t>Phase 8: Interpretable RFM segmentation; optional clustering only if stable and useful.</w:t>
      </w:r>
    </w:p>
    <w:p>
      <w:pPr>
        <w:pStyle w:val="ListBullet"/>
        <w:spacing w:after="60"/>
      </w:pPr>
      <w:r>
        <w:t>Phase 9: Optional repeat/churn model with time-based evaluation, customer separation, and leakage controls.</w:t>
      </w:r>
    </w:p>
    <w:p>
      <w:pPr>
        <w:pStyle w:val="ListBullet"/>
        <w:spacing w:after="60"/>
      </w:pPr>
      <w:r>
        <w:t>Phase 10: Evaluation, interpretation, business economics, responsible recommendations, and limitations.</w:t>
      </w:r>
    </w:p>
    <w:p>
      <w:pPr>
        <w:pStyle w:val="Caption"/>
        <w:keepNext/>
        <w:spacing w:before="60" w:after="60"/>
      </w:pPr>
      <w:r>
        <w:t>Table 14. Stage / Checks and analysis / Output / decision gate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vAlign w:val="center"/>
          </w:tcPr>
          <w:p>
            <w:pPr>
              <w:spacing w:after="0"/>
            </w:pPr>
            <w:r>
              <w:rPr>
                <w:b/>
                <w:color w:val="FFFFFF"/>
                <w:sz w:val="16"/>
              </w:rPr>
              <w:t>Stage</w:t>
            </w:r>
          </w:p>
        </w:tc>
        <w:tc>
          <w:tcPr>
            <w:tcW w:type="dxa" w:w="3331"/>
            <w:shd w:fill="17324D"/>
            <w:tcMar>
              <w:top w:w="90" w:type="dxa"/>
              <w:start w:w="100" w:type="dxa"/>
              <w:bottom w:w="90" w:type="dxa"/>
              <w:end w:w="100" w:type="dxa"/>
            </w:tcMar>
            <w:vAlign w:val="center"/>
          </w:tcPr>
          <w:p>
            <w:pPr>
              <w:spacing w:after="0"/>
            </w:pPr>
            <w:r>
              <w:rPr>
                <w:b/>
                <w:color w:val="FFFFFF"/>
                <w:sz w:val="16"/>
              </w:rPr>
              <w:t>Checks and analysis</w:t>
            </w:r>
          </w:p>
        </w:tc>
        <w:tc>
          <w:tcPr>
            <w:tcW w:type="dxa" w:w="3331"/>
            <w:shd w:fill="17324D"/>
            <w:tcMar>
              <w:top w:w="90" w:type="dxa"/>
              <w:start w:w="100" w:type="dxa"/>
              <w:bottom w:w="90" w:type="dxa"/>
              <w:end w:w="100" w:type="dxa"/>
            </w:tcMar>
            <w:vAlign w:val="center"/>
          </w:tcPr>
          <w:p>
            <w:pPr>
              <w:spacing w:after="0"/>
            </w:pPr>
            <w:r>
              <w:rPr>
                <w:b/>
                <w:color w:val="FFFFFF"/>
                <w:sz w:val="16"/>
              </w:rPr>
              <w:t>Output / decision gate</w:t>
            </w:r>
          </w:p>
        </w:tc>
      </w:tr>
      <w:tr>
        <w:tc>
          <w:tcPr>
            <w:tcW w:type="dxa" w:w="3331"/>
            <w:tcMar>
              <w:top w:w="90" w:type="dxa"/>
              <w:start w:w="100" w:type="dxa"/>
              <w:bottom w:w="90" w:type="dxa"/>
              <w:end w:w="100" w:type="dxa"/>
            </w:tcMar>
            <w:vAlign w:val="top"/>
          </w:tcPr>
          <w:p>
            <w:pPr>
              <w:spacing w:after="0" w:line="240" w:lineRule="auto"/>
            </w:pPr>
            <w:r>
              <w:rPr>
                <w:sz w:val="16"/>
              </w:rPr>
              <w:t>1. Governance</w:t>
            </w:r>
          </w:p>
        </w:tc>
        <w:tc>
          <w:tcPr>
            <w:tcW w:type="dxa" w:w="3331"/>
            <w:tcMar>
              <w:top w:w="90" w:type="dxa"/>
              <w:start w:w="100" w:type="dxa"/>
              <w:bottom w:w="90" w:type="dxa"/>
              <w:end w:w="100" w:type="dxa"/>
            </w:tcMar>
            <w:vAlign w:val="top"/>
          </w:tcPr>
          <w:p>
            <w:pPr>
              <w:spacing w:after="0" w:line="240" w:lineRule="auto"/>
            </w:pPr>
            <w:r>
              <w:rPr>
                <w:sz w:val="16"/>
              </w:rPr>
              <w:t>Purpose, permission, minimum fields, access, retention, small-cell controls.</w:t>
            </w:r>
          </w:p>
        </w:tc>
        <w:tc>
          <w:tcPr>
            <w:tcW w:type="dxa" w:w="3331"/>
            <w:tcMar>
              <w:top w:w="90" w:type="dxa"/>
              <w:start w:w="100" w:type="dxa"/>
              <w:bottom w:w="90" w:type="dxa"/>
              <w:end w:w="100" w:type="dxa"/>
            </w:tcMar>
            <w:vAlign w:val="top"/>
          </w:tcPr>
          <w:p>
            <w:pPr>
              <w:spacing w:after="0" w:line="240" w:lineRule="auto"/>
            </w:pPr>
            <w:r>
              <w:rPr>
                <w:sz w:val="16"/>
              </w:rPr>
              <w:t>Approved extract specification or pause.</w:t>
            </w:r>
          </w:p>
        </w:tc>
      </w:tr>
      <w:tr>
        <w:tc>
          <w:tcPr>
            <w:tcW w:type="dxa" w:w="3331"/>
            <w:shd w:fill="F3F5F7"/>
            <w:tcMar>
              <w:top w:w="90" w:type="dxa"/>
              <w:start w:w="100" w:type="dxa"/>
              <w:bottom w:w="90" w:type="dxa"/>
              <w:end w:w="100" w:type="dxa"/>
            </w:tcMar>
            <w:vAlign w:val="top"/>
          </w:tcPr>
          <w:p>
            <w:pPr>
              <w:spacing w:after="0" w:line="240" w:lineRule="auto"/>
            </w:pPr>
            <w:r>
              <w:rPr>
                <w:sz w:val="16"/>
              </w:rPr>
              <w:t>2. Profile</w:t>
            </w:r>
          </w:p>
        </w:tc>
        <w:tc>
          <w:tcPr>
            <w:tcW w:type="dxa" w:w="3331"/>
            <w:shd w:fill="F3F5F7"/>
            <w:tcMar>
              <w:top w:w="90" w:type="dxa"/>
              <w:start w:w="100" w:type="dxa"/>
              <w:bottom w:w="90" w:type="dxa"/>
              <w:end w:w="100" w:type="dxa"/>
            </w:tcMar>
            <w:vAlign w:val="top"/>
          </w:tcPr>
          <w:p>
            <w:pPr>
              <w:spacing w:after="0" w:line="240" w:lineRule="auto"/>
            </w:pPr>
            <w:r>
              <w:rPr>
                <w:sz w:val="16"/>
              </w:rPr>
              <w:t>Schema, row grain, keys, types, missingness, date range, currency, invalid values.</w:t>
            </w:r>
          </w:p>
        </w:tc>
        <w:tc>
          <w:tcPr>
            <w:tcW w:type="dxa" w:w="3331"/>
            <w:shd w:fill="F3F5F7"/>
            <w:tcMar>
              <w:top w:w="90" w:type="dxa"/>
              <w:start w:w="100" w:type="dxa"/>
              <w:bottom w:w="90" w:type="dxa"/>
              <w:end w:w="100" w:type="dxa"/>
            </w:tcMar>
            <w:vAlign w:val="top"/>
          </w:tcPr>
          <w:p>
            <w:pPr>
              <w:spacing w:after="0" w:line="240" w:lineRule="auto"/>
            </w:pPr>
            <w:r>
              <w:rPr>
                <w:sz w:val="16"/>
              </w:rPr>
              <w:t>Data-quality log; documented unresolved issues.</w:t>
            </w:r>
          </w:p>
        </w:tc>
      </w:tr>
      <w:tr>
        <w:tc>
          <w:tcPr>
            <w:tcW w:type="dxa" w:w="3331"/>
            <w:tcMar>
              <w:top w:w="90" w:type="dxa"/>
              <w:start w:w="100" w:type="dxa"/>
              <w:bottom w:w="90" w:type="dxa"/>
              <w:end w:w="100" w:type="dxa"/>
            </w:tcMar>
            <w:vAlign w:val="top"/>
          </w:tcPr>
          <w:p>
            <w:pPr>
              <w:spacing w:after="0" w:line="240" w:lineRule="auto"/>
            </w:pPr>
            <w:r>
              <w:rPr>
                <w:sz w:val="16"/>
              </w:rPr>
              <w:t>3. Reconcile</w:t>
            </w:r>
          </w:p>
        </w:tc>
        <w:tc>
          <w:tcPr>
            <w:tcW w:type="dxa" w:w="3331"/>
            <w:tcMar>
              <w:top w:w="90" w:type="dxa"/>
              <w:start w:w="100" w:type="dxa"/>
              <w:bottom w:w="90" w:type="dxa"/>
              <w:end w:w="100" w:type="dxa"/>
            </w:tcMar>
            <w:vAlign w:val="top"/>
          </w:tcPr>
          <w:p>
            <w:pPr>
              <w:spacing w:after="0" w:line="240" w:lineRule="auto"/>
            </w:pPr>
            <w:r>
              <w:rPr>
                <w:sz w:val="16"/>
              </w:rPr>
              <w:t>Order counts and sales vs approved operational totals; quantify each exclusion.</w:t>
            </w:r>
          </w:p>
        </w:tc>
        <w:tc>
          <w:tcPr>
            <w:tcW w:type="dxa" w:w="3331"/>
            <w:tcMar>
              <w:top w:w="90" w:type="dxa"/>
              <w:start w:w="100" w:type="dxa"/>
              <w:bottom w:w="90" w:type="dxa"/>
              <w:end w:w="100" w:type="dxa"/>
            </w:tcMar>
            <w:vAlign w:val="top"/>
          </w:tcPr>
          <w:p>
            <w:pPr>
              <w:spacing w:after="0" w:line="240" w:lineRule="auto"/>
            </w:pPr>
            <w:r>
              <w:rPr>
                <w:sz w:val="16"/>
              </w:rPr>
              <w:t>Reconciliation table and sign-off.</w:t>
            </w:r>
          </w:p>
        </w:tc>
      </w:tr>
      <w:tr>
        <w:tc>
          <w:tcPr>
            <w:tcW w:type="dxa" w:w="3331"/>
            <w:shd w:fill="F3F5F7"/>
            <w:tcMar>
              <w:top w:w="90" w:type="dxa"/>
              <w:start w:w="100" w:type="dxa"/>
              <w:bottom w:w="90" w:type="dxa"/>
              <w:end w:w="100" w:type="dxa"/>
            </w:tcMar>
            <w:vAlign w:val="top"/>
          </w:tcPr>
          <w:p>
            <w:pPr>
              <w:spacing w:after="0" w:line="240" w:lineRule="auto"/>
            </w:pPr>
            <w:r>
              <w:rPr>
                <w:sz w:val="16"/>
              </w:rPr>
              <w:t>4. Describe</w:t>
            </w:r>
          </w:p>
        </w:tc>
        <w:tc>
          <w:tcPr>
            <w:tcW w:type="dxa" w:w="3331"/>
            <w:shd w:fill="F3F5F7"/>
            <w:tcMar>
              <w:top w:w="90" w:type="dxa"/>
              <w:start w:w="100" w:type="dxa"/>
              <w:bottom w:w="90" w:type="dxa"/>
              <w:end w:w="100" w:type="dxa"/>
            </w:tcMar>
            <w:vAlign w:val="top"/>
          </w:tcPr>
          <w:p>
            <w:pPr>
              <w:spacing w:after="0" w:line="240" w:lineRule="auto"/>
            </w:pPr>
            <w:r>
              <w:rPr>
                <w:sz w:val="16"/>
              </w:rPr>
              <w:t>Order timing, distributions, spending, categories/channels; all with denominators.</w:t>
            </w:r>
          </w:p>
        </w:tc>
        <w:tc>
          <w:tcPr>
            <w:tcW w:type="dxa" w:w="3331"/>
            <w:shd w:fill="F3F5F7"/>
            <w:tcMar>
              <w:top w:w="90" w:type="dxa"/>
              <w:start w:w="100" w:type="dxa"/>
              <w:bottom w:w="90" w:type="dxa"/>
              <w:end w:w="100" w:type="dxa"/>
            </w:tcMar>
            <w:vAlign w:val="top"/>
          </w:tcPr>
          <w:p>
            <w:pPr>
              <w:spacing w:after="0" w:line="240" w:lineRule="auto"/>
            </w:pPr>
            <w:r>
              <w:rPr>
                <w:sz w:val="16"/>
              </w:rPr>
              <w:t>Descriptive tables/figures, coverage notes.</w:t>
            </w:r>
          </w:p>
        </w:tc>
      </w:tr>
      <w:tr>
        <w:tc>
          <w:tcPr>
            <w:tcW w:type="dxa" w:w="3331"/>
            <w:tcMar>
              <w:top w:w="90" w:type="dxa"/>
              <w:start w:w="100" w:type="dxa"/>
              <w:bottom w:w="90" w:type="dxa"/>
              <w:end w:w="100" w:type="dxa"/>
            </w:tcMar>
            <w:vAlign w:val="top"/>
          </w:tcPr>
          <w:p>
            <w:pPr>
              <w:spacing w:after="0" w:line="240" w:lineRule="auto"/>
            </w:pPr>
            <w:r>
              <w:rPr>
                <w:sz w:val="16"/>
              </w:rPr>
              <w:t>5. Cohorts</w:t>
            </w:r>
          </w:p>
        </w:tc>
        <w:tc>
          <w:tcPr>
            <w:tcW w:type="dxa" w:w="3331"/>
            <w:tcMar>
              <w:top w:w="90" w:type="dxa"/>
              <w:start w:w="100" w:type="dxa"/>
              <w:bottom w:w="90" w:type="dxa"/>
              <w:end w:w="100" w:type="dxa"/>
            </w:tcMar>
            <w:vAlign w:val="top"/>
          </w:tcPr>
          <w:p>
            <w:pPr>
              <w:spacing w:after="0" w:line="240" w:lineRule="auto"/>
            </w:pPr>
            <w:r>
              <w:rPr>
                <w:sz w:val="16"/>
              </w:rPr>
              <w:t>Cohort sizes, mature follow-up, repeat rate by horizon, time to second order.</w:t>
            </w:r>
          </w:p>
        </w:tc>
        <w:tc>
          <w:tcPr>
            <w:tcW w:type="dxa" w:w="3331"/>
            <w:tcMar>
              <w:top w:w="90" w:type="dxa"/>
              <w:start w:w="100" w:type="dxa"/>
              <w:bottom w:w="90" w:type="dxa"/>
              <w:end w:w="100" w:type="dxa"/>
            </w:tcMar>
            <w:vAlign w:val="top"/>
          </w:tcPr>
          <w:p>
            <w:pPr>
              <w:spacing w:after="0" w:line="240" w:lineRule="auto"/>
            </w:pPr>
            <w:r>
              <w:rPr>
                <w:sz w:val="16"/>
              </w:rPr>
              <w:t>Comparable cohort curves/tables; censoring caveats.</w:t>
            </w:r>
          </w:p>
        </w:tc>
      </w:tr>
      <w:tr>
        <w:tc>
          <w:tcPr>
            <w:tcW w:type="dxa" w:w="3331"/>
            <w:shd w:fill="F3F5F7"/>
            <w:tcMar>
              <w:top w:w="90" w:type="dxa"/>
              <w:start w:w="100" w:type="dxa"/>
              <w:bottom w:w="90" w:type="dxa"/>
              <w:end w:w="100" w:type="dxa"/>
            </w:tcMar>
            <w:vAlign w:val="top"/>
          </w:tcPr>
          <w:p>
            <w:pPr>
              <w:spacing w:after="0" w:line="240" w:lineRule="auto"/>
            </w:pPr>
            <w:r>
              <w:rPr>
                <w:sz w:val="16"/>
              </w:rPr>
              <w:t>6. Compare</w:t>
            </w:r>
          </w:p>
        </w:tc>
        <w:tc>
          <w:tcPr>
            <w:tcW w:type="dxa" w:w="3331"/>
            <w:shd w:fill="F3F5F7"/>
            <w:tcMar>
              <w:top w:w="90" w:type="dxa"/>
              <w:start w:w="100" w:type="dxa"/>
              <w:bottom w:w="90" w:type="dxa"/>
              <w:end w:w="100" w:type="dxa"/>
            </w:tcMar>
            <w:vAlign w:val="top"/>
          </w:tcPr>
          <w:p>
            <w:pPr>
              <w:spacing w:after="0" w:line="240" w:lineRule="auto"/>
            </w:pPr>
            <w:r>
              <w:rPr>
                <w:sz w:val="16"/>
              </w:rPr>
              <w:t>Pre-specified group contrasts and intervals where assumptions allow.</w:t>
            </w:r>
          </w:p>
        </w:tc>
        <w:tc>
          <w:tcPr>
            <w:tcW w:type="dxa" w:w="3331"/>
            <w:shd w:fill="F3F5F7"/>
            <w:tcMar>
              <w:top w:w="90" w:type="dxa"/>
              <w:start w:w="100" w:type="dxa"/>
              <w:bottom w:w="90" w:type="dxa"/>
              <w:end w:w="100" w:type="dxa"/>
            </w:tcMar>
            <w:vAlign w:val="top"/>
          </w:tcPr>
          <w:p>
            <w:pPr>
              <w:spacing w:after="0" w:line="240" w:lineRule="auto"/>
            </w:pPr>
            <w:r>
              <w:rPr>
                <w:sz w:val="16"/>
              </w:rPr>
              <w:t>Effect sizes and uncertainty; exploratory label if not pre-specified.</w:t>
            </w:r>
          </w:p>
        </w:tc>
      </w:tr>
      <w:tr>
        <w:tc>
          <w:tcPr>
            <w:tcW w:type="dxa" w:w="3331"/>
            <w:tcMar>
              <w:top w:w="90" w:type="dxa"/>
              <w:start w:w="100" w:type="dxa"/>
              <w:bottom w:w="90" w:type="dxa"/>
              <w:end w:w="100" w:type="dxa"/>
            </w:tcMar>
            <w:vAlign w:val="top"/>
          </w:tcPr>
          <w:p>
            <w:pPr>
              <w:spacing w:after="0" w:line="240" w:lineRule="auto"/>
            </w:pPr>
            <w:r>
              <w:rPr>
                <w:sz w:val="16"/>
              </w:rPr>
              <w:t>7. Optional model</w:t>
            </w:r>
          </w:p>
        </w:tc>
        <w:tc>
          <w:tcPr>
            <w:tcW w:type="dxa" w:w="3331"/>
            <w:tcMar>
              <w:top w:w="90" w:type="dxa"/>
              <w:start w:w="100" w:type="dxa"/>
              <w:bottom w:w="90" w:type="dxa"/>
              <w:end w:w="100" w:type="dxa"/>
            </w:tcMar>
            <w:vAlign w:val="top"/>
          </w:tcPr>
          <w:p>
            <w:pPr>
              <w:spacing w:after="0" w:line="240" w:lineRule="auto"/>
            </w:pPr>
            <w:r>
              <w:rPr>
                <w:sz w:val="16"/>
              </w:rPr>
              <w:t>Chronological split, baseline, leakage review, class and calibration metrics.</w:t>
            </w:r>
          </w:p>
        </w:tc>
        <w:tc>
          <w:tcPr>
            <w:tcW w:type="dxa" w:w="3331"/>
            <w:tcMar>
              <w:top w:w="90" w:type="dxa"/>
              <w:start w:w="100" w:type="dxa"/>
              <w:bottom w:w="90" w:type="dxa"/>
              <w:end w:w="100" w:type="dxa"/>
            </w:tcMar>
            <w:vAlign w:val="top"/>
          </w:tcPr>
          <w:p>
            <w:pPr>
              <w:spacing w:after="0" w:line="240" w:lineRule="auto"/>
            </w:pPr>
            <w:r>
              <w:rPr>
                <w:sz w:val="16"/>
              </w:rPr>
              <w:t>Modeling decision memo; stop if readiness criteria fail.</w:t>
            </w:r>
          </w:p>
        </w:tc>
      </w:tr>
      <w:tr>
        <w:tc>
          <w:tcPr>
            <w:tcW w:type="dxa" w:w="3331"/>
            <w:shd w:fill="F3F5F7"/>
            <w:tcMar>
              <w:top w:w="90" w:type="dxa"/>
              <w:start w:w="100" w:type="dxa"/>
              <w:bottom w:w="90" w:type="dxa"/>
              <w:end w:w="100" w:type="dxa"/>
            </w:tcMar>
            <w:vAlign w:val="top"/>
          </w:tcPr>
          <w:p>
            <w:pPr>
              <w:spacing w:after="0" w:line="240" w:lineRule="auto"/>
            </w:pPr>
            <w:r>
              <w:rPr>
                <w:sz w:val="16"/>
              </w:rPr>
              <w:t>8. Synthesize</w:t>
            </w:r>
          </w:p>
        </w:tc>
        <w:tc>
          <w:tcPr>
            <w:tcW w:type="dxa" w:w="3331"/>
            <w:shd w:fill="F3F5F7"/>
            <w:tcMar>
              <w:top w:w="90" w:type="dxa"/>
              <w:start w:w="100" w:type="dxa"/>
              <w:bottom w:w="90" w:type="dxa"/>
              <w:end w:w="100" w:type="dxa"/>
            </w:tcMar>
            <w:vAlign w:val="top"/>
          </w:tcPr>
          <w:p>
            <w:pPr>
              <w:spacing w:after="0" w:line="240" w:lineRule="auto"/>
            </w:pPr>
            <w:r>
              <w:rPr>
                <w:sz w:val="16"/>
              </w:rPr>
              <w:t>Evidence, business value, feasibility, privacy/fairness risk, test design.</w:t>
            </w:r>
          </w:p>
        </w:tc>
        <w:tc>
          <w:tcPr>
            <w:tcW w:type="dxa" w:w="3331"/>
            <w:shd w:fill="F3F5F7"/>
            <w:tcMar>
              <w:top w:w="90" w:type="dxa"/>
              <w:start w:w="100" w:type="dxa"/>
              <w:bottom w:w="90" w:type="dxa"/>
              <w:end w:w="100" w:type="dxa"/>
            </w:tcMar>
            <w:vAlign w:val="top"/>
          </w:tcPr>
          <w:p>
            <w:pPr>
              <w:spacing w:after="0" w:line="240" w:lineRule="auto"/>
            </w:pPr>
            <w:r>
              <w:rPr>
                <w:sz w:val="16"/>
              </w:rPr>
              <w:t>Ranked candidate experiments with owners and guardrails.</w:t>
            </w:r>
          </w:p>
        </w:tc>
      </w:tr>
    </w:tbl>
    <w:p>
      <w:pPr>
        <w:spacing w:after="20"/>
      </w:pPr>
    </w:p>
    <w:p>
      <w:pPr>
        <w:pStyle w:val="Heading2"/>
        <w:keepNext/>
      </w:pPr>
      <w:r>
        <w:t>7.2 Proposed visual checks</w:t>
      </w:r>
    </w:p>
    <w:p>
      <w:pPr>
        <w:pStyle w:val="ListBullet"/>
        <w:spacing w:after="60"/>
      </w:pPr>
      <w:r>
        <w:t>Monthly order and net-sales time series with event/data-quality annotations.</w:t>
      </w:r>
    </w:p>
    <w:p>
      <w:pPr>
        <w:pStyle w:val="ListBullet"/>
        <w:spacing w:after="60"/>
      </w:pPr>
      <w:r>
        <w:t>Order-frequency and monetary-value distributions, showing scale and extreme-value handling.</w:t>
      </w:r>
    </w:p>
    <w:p>
      <w:pPr>
        <w:pStyle w:val="ListBullet"/>
        <w:spacing w:after="60"/>
      </w:pPr>
      <w:r>
        <w:t>Category and channel mix over time, with mapping changes noted.</w:t>
      </w:r>
    </w:p>
    <w:p>
      <w:pPr>
        <w:pStyle w:val="ListBullet"/>
        <w:spacing w:after="60"/>
      </w:pPr>
      <w:r>
        <w:t>Cohort-by-follow-up-period repeat-rate matrix that suppresses immature cells.</w:t>
      </w:r>
    </w:p>
    <w:p>
      <w:pPr>
        <w:pStyle w:val="ListBullet"/>
        <w:spacing w:after="60"/>
      </w:pPr>
      <w:r>
        <w:t>Time-to-second-order curve with at-risk counts and censoring where methodology supports it.</w:t>
      </w:r>
    </w:p>
    <w:p>
      <w:pPr>
        <w:pStyle w:val="ListBullet"/>
        <w:spacing w:after="60"/>
      </w:pPr>
      <w:r>
        <w:t>Missingness and reconciliation summaries before any outcome interpretation.</w:t>
      </w:r>
    </w:p>
    <w:p>
      <w:pPr>
        <w:pStyle w:val="Heading2"/>
        <w:keepNext/>
      </w:pPr>
      <w:r>
        <w:t>7.3 EDA question-to-output matrix</w:t>
      </w:r>
    </w:p>
    <w:p>
      <w:pPr>
        <w:pStyle w:val="Caption"/>
        <w:keepNext/>
        <w:spacing w:before="60" w:after="60"/>
      </w:pPr>
      <w:r>
        <w:t>Table 15. EDA question / Variables / check / Method and visualization / Potential use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shd w:fill="17324D"/>
            <w:tcMar>
              <w:top w:w="90" w:type="dxa"/>
              <w:start w:w="100" w:type="dxa"/>
              <w:bottom w:w="90" w:type="dxa"/>
              <w:end w:w="100" w:type="dxa"/>
            </w:tcMar>
            <w:vAlign w:val="center"/>
          </w:tcPr>
          <w:p>
            <w:pPr>
              <w:spacing w:after="0"/>
            </w:pPr>
            <w:r>
              <w:rPr>
                <w:b/>
                <w:color w:val="FFFFFF"/>
                <w:sz w:val="14"/>
              </w:rPr>
              <w:t>EDA question</w:t>
            </w:r>
          </w:p>
        </w:tc>
        <w:tc>
          <w:tcPr>
            <w:tcW w:type="dxa" w:w="2498"/>
            <w:shd w:fill="17324D"/>
            <w:tcMar>
              <w:top w:w="90" w:type="dxa"/>
              <w:start w:w="100" w:type="dxa"/>
              <w:bottom w:w="90" w:type="dxa"/>
              <w:end w:w="100" w:type="dxa"/>
            </w:tcMar>
            <w:vAlign w:val="center"/>
          </w:tcPr>
          <w:p>
            <w:pPr>
              <w:spacing w:after="0"/>
            </w:pPr>
            <w:r>
              <w:rPr>
                <w:b/>
                <w:color w:val="FFFFFF"/>
                <w:sz w:val="14"/>
              </w:rPr>
              <w:t>Variables / check</w:t>
            </w:r>
          </w:p>
        </w:tc>
        <w:tc>
          <w:tcPr>
            <w:tcW w:type="dxa" w:w="2498"/>
            <w:shd w:fill="17324D"/>
            <w:tcMar>
              <w:top w:w="90" w:type="dxa"/>
              <w:start w:w="100" w:type="dxa"/>
              <w:bottom w:w="90" w:type="dxa"/>
              <w:end w:w="100" w:type="dxa"/>
            </w:tcMar>
            <w:vAlign w:val="center"/>
          </w:tcPr>
          <w:p>
            <w:pPr>
              <w:spacing w:after="0"/>
            </w:pPr>
            <w:r>
              <w:rPr>
                <w:b/>
                <w:color w:val="FFFFFF"/>
                <w:sz w:val="14"/>
              </w:rPr>
              <w:t>Method and visualization</w:t>
            </w:r>
          </w:p>
        </w:tc>
        <w:tc>
          <w:tcPr>
            <w:tcW w:type="dxa" w:w="2498"/>
            <w:shd w:fill="17324D"/>
            <w:tcMar>
              <w:top w:w="90" w:type="dxa"/>
              <w:start w:w="100" w:type="dxa"/>
              <w:bottom w:w="90" w:type="dxa"/>
              <w:end w:w="100" w:type="dxa"/>
            </w:tcMar>
            <w:vAlign w:val="center"/>
          </w:tcPr>
          <w:p>
            <w:pPr>
              <w:spacing w:after="0"/>
            </w:pPr>
            <w:r>
              <w:rPr>
                <w:b/>
                <w:color w:val="FFFFFF"/>
                <w:sz w:val="14"/>
              </w:rPr>
              <w:t>Potential use</w:t>
            </w:r>
          </w:p>
        </w:tc>
      </w:tr>
      <w:tr>
        <w:tc>
          <w:tcPr>
            <w:tcW w:type="dxa" w:w="2498"/>
            <w:tcMar>
              <w:top w:w="90" w:type="dxa"/>
              <w:start w:w="100" w:type="dxa"/>
              <w:bottom w:w="90" w:type="dxa"/>
              <w:end w:w="100" w:type="dxa"/>
            </w:tcMar>
            <w:vAlign w:val="top"/>
          </w:tcPr>
          <w:p>
            <w:pPr>
              <w:spacing w:after="0" w:line="240" w:lineRule="auto"/>
            </w:pPr>
            <w:r>
              <w:rPr>
                <w:sz w:val="14"/>
              </w:rPr>
              <w:t>What data do we have and at what grain?</w:t>
            </w:r>
          </w:p>
        </w:tc>
        <w:tc>
          <w:tcPr>
            <w:tcW w:type="dxa" w:w="2498"/>
            <w:tcMar>
              <w:top w:w="90" w:type="dxa"/>
              <w:start w:w="100" w:type="dxa"/>
              <w:bottom w:w="90" w:type="dxa"/>
              <w:end w:w="100" w:type="dxa"/>
            </w:tcMar>
            <w:vAlign w:val="top"/>
          </w:tcPr>
          <w:p>
            <w:pPr>
              <w:spacing w:after="0" w:line="240" w:lineRule="auto"/>
            </w:pPr>
            <w:r>
              <w:rPr>
                <w:sz w:val="14"/>
              </w:rPr>
              <w:t>Rows, columns, types, date range, distinct customers/orders/items.</w:t>
            </w:r>
          </w:p>
        </w:tc>
        <w:tc>
          <w:tcPr>
            <w:tcW w:type="dxa" w:w="2498"/>
            <w:tcMar>
              <w:top w:w="90" w:type="dxa"/>
              <w:start w:w="100" w:type="dxa"/>
              <w:bottom w:w="90" w:type="dxa"/>
              <w:end w:w="100" w:type="dxa"/>
            </w:tcMar>
            <w:vAlign w:val="top"/>
          </w:tcPr>
          <w:p>
            <w:pPr>
              <w:spacing w:after="0" w:line="240" w:lineRule="auto"/>
            </w:pPr>
            <w:r>
              <w:rPr>
                <w:sz w:val="14"/>
              </w:rPr>
              <w:t>pandas schema/profile tables; no chart needed for initial inventory.</w:t>
            </w:r>
          </w:p>
        </w:tc>
        <w:tc>
          <w:tcPr>
            <w:tcW w:type="dxa" w:w="2498"/>
            <w:tcMar>
              <w:top w:w="90" w:type="dxa"/>
              <w:start w:w="100" w:type="dxa"/>
              <w:bottom w:w="90" w:type="dxa"/>
              <w:end w:w="100" w:type="dxa"/>
            </w:tcMar>
            <w:vAlign w:val="top"/>
          </w:tcPr>
          <w:p>
            <w:pPr>
              <w:spacing w:after="0" w:line="240" w:lineRule="auto"/>
            </w:pPr>
            <w:r>
              <w:rPr>
                <w:sz w:val="14"/>
              </w:rPr>
              <w:t>Confirm feasibility and correct analytical unit.</w:t>
            </w:r>
          </w:p>
        </w:tc>
      </w:tr>
      <w:tr>
        <w:tc>
          <w:tcPr>
            <w:tcW w:type="dxa" w:w="2498"/>
            <w:shd w:fill="F3F5F7"/>
            <w:tcMar>
              <w:top w:w="90" w:type="dxa"/>
              <w:start w:w="100" w:type="dxa"/>
              <w:bottom w:w="90" w:type="dxa"/>
              <w:end w:w="100" w:type="dxa"/>
            </w:tcMar>
            <w:vAlign w:val="top"/>
          </w:tcPr>
          <w:p>
            <w:pPr>
              <w:spacing w:after="0" w:line="240" w:lineRule="auto"/>
            </w:pPr>
            <w:r>
              <w:rPr>
                <w:sz w:val="14"/>
              </w:rPr>
              <w:t>Where are fields incomplete?</w:t>
            </w:r>
          </w:p>
        </w:tc>
        <w:tc>
          <w:tcPr>
            <w:tcW w:type="dxa" w:w="2498"/>
            <w:shd w:fill="F3F5F7"/>
            <w:tcMar>
              <w:top w:w="90" w:type="dxa"/>
              <w:start w:w="100" w:type="dxa"/>
              <w:bottom w:w="90" w:type="dxa"/>
              <w:end w:w="100" w:type="dxa"/>
            </w:tcMar>
            <w:vAlign w:val="top"/>
          </w:tcPr>
          <w:p>
            <w:pPr>
              <w:spacing w:after="0" w:line="240" w:lineRule="auto"/>
            </w:pPr>
            <w:r>
              <w:rPr>
                <w:sz w:val="14"/>
              </w:rPr>
              <w:t>Missing customer, date, category, price, channel; missingness patterns.</w:t>
            </w:r>
          </w:p>
        </w:tc>
        <w:tc>
          <w:tcPr>
            <w:tcW w:type="dxa" w:w="2498"/>
            <w:shd w:fill="F3F5F7"/>
            <w:tcMar>
              <w:top w:w="90" w:type="dxa"/>
              <w:start w:w="100" w:type="dxa"/>
              <w:bottom w:w="90" w:type="dxa"/>
              <w:end w:w="100" w:type="dxa"/>
            </w:tcMar>
            <w:vAlign w:val="top"/>
          </w:tcPr>
          <w:p>
            <w:pPr>
              <w:spacing w:after="0" w:line="240" w:lineRule="auto"/>
            </w:pPr>
            <w:r>
              <w:rPr>
                <w:sz w:val="14"/>
              </w:rPr>
              <w:t>pandas missingness counts/percentages; sorted bar chart.</w:t>
            </w:r>
          </w:p>
        </w:tc>
        <w:tc>
          <w:tcPr>
            <w:tcW w:type="dxa" w:w="2498"/>
            <w:shd w:fill="F3F5F7"/>
            <w:tcMar>
              <w:top w:w="90" w:type="dxa"/>
              <w:start w:w="100" w:type="dxa"/>
              <w:bottom w:w="90" w:type="dxa"/>
              <w:end w:w="100" w:type="dxa"/>
            </w:tcMar>
            <w:vAlign w:val="top"/>
          </w:tcPr>
          <w:p>
            <w:pPr>
              <w:spacing w:after="0" w:line="240" w:lineRule="auto"/>
            </w:pPr>
            <w:r>
              <w:rPr>
                <w:sz w:val="14"/>
              </w:rPr>
              <w:t>Choose eligibility and identify bias risks.</w:t>
            </w:r>
          </w:p>
        </w:tc>
      </w:tr>
      <w:tr>
        <w:tc>
          <w:tcPr>
            <w:tcW w:type="dxa" w:w="2498"/>
            <w:tcMar>
              <w:top w:w="90" w:type="dxa"/>
              <w:start w:w="100" w:type="dxa"/>
              <w:bottom w:w="90" w:type="dxa"/>
              <w:end w:w="100" w:type="dxa"/>
            </w:tcMar>
            <w:vAlign w:val="top"/>
          </w:tcPr>
          <w:p>
            <w:pPr>
              <w:spacing w:after="0" w:line="240" w:lineRule="auto"/>
            </w:pPr>
            <w:r>
              <w:rPr>
                <w:sz w:val="14"/>
              </w:rPr>
              <w:t>Are events duplicated or invalid?</w:t>
            </w:r>
          </w:p>
        </w:tc>
        <w:tc>
          <w:tcPr>
            <w:tcW w:type="dxa" w:w="2498"/>
            <w:tcMar>
              <w:top w:w="90" w:type="dxa"/>
              <w:start w:w="100" w:type="dxa"/>
              <w:bottom w:w="90" w:type="dxa"/>
              <w:end w:w="100" w:type="dxa"/>
            </w:tcMar>
            <w:vAlign w:val="top"/>
          </w:tcPr>
          <w:p>
            <w:pPr>
              <w:spacing w:after="0" w:line="240" w:lineRule="auto"/>
            </w:pPr>
            <w:r>
              <w:rPr>
                <w:sz w:val="14"/>
              </w:rPr>
              <w:t>Duplicate transaction IDs/lines; negative/zero prices, units, dates, discount bounds.</w:t>
            </w:r>
          </w:p>
        </w:tc>
        <w:tc>
          <w:tcPr>
            <w:tcW w:type="dxa" w:w="2498"/>
            <w:tcMar>
              <w:top w:w="90" w:type="dxa"/>
              <w:start w:w="100" w:type="dxa"/>
              <w:bottom w:w="90" w:type="dxa"/>
              <w:end w:w="100" w:type="dxa"/>
            </w:tcMar>
            <w:vAlign w:val="top"/>
          </w:tcPr>
          <w:p>
            <w:pPr>
              <w:spacing w:after="0" w:line="240" w:lineRule="auto"/>
            </w:pPr>
            <w:r>
              <w:rPr>
                <w:sz w:val="14"/>
              </w:rPr>
              <w:t>Rule-based counts and exception tables; histogram/boxplot for plausible numeric fields.</w:t>
            </w:r>
          </w:p>
        </w:tc>
        <w:tc>
          <w:tcPr>
            <w:tcW w:type="dxa" w:w="2498"/>
            <w:tcMar>
              <w:top w:w="90" w:type="dxa"/>
              <w:start w:w="100" w:type="dxa"/>
              <w:bottom w:w="90" w:type="dxa"/>
              <w:end w:w="100" w:type="dxa"/>
            </w:tcMar>
            <w:vAlign w:val="top"/>
          </w:tcPr>
          <w:p>
            <w:pPr>
              <w:spacing w:after="0" w:line="240" w:lineRule="auto"/>
            </w:pPr>
            <w:r>
              <w:rPr>
                <w:sz w:val="14"/>
              </w:rPr>
              <w:t>Set transparent cleaning rules and quantify exclusions.</w:t>
            </w:r>
          </w:p>
        </w:tc>
      </w:tr>
      <w:tr>
        <w:tc>
          <w:tcPr>
            <w:tcW w:type="dxa" w:w="2498"/>
            <w:shd w:fill="F3F5F7"/>
            <w:tcMar>
              <w:top w:w="90" w:type="dxa"/>
              <w:start w:w="100" w:type="dxa"/>
              <w:bottom w:w="90" w:type="dxa"/>
              <w:end w:w="100" w:type="dxa"/>
            </w:tcMar>
            <w:vAlign w:val="top"/>
          </w:tcPr>
          <w:p>
            <w:pPr>
              <w:spacing w:after="0" w:line="240" w:lineRule="auto"/>
            </w:pPr>
            <w:r>
              <w:rPr>
                <w:sz w:val="14"/>
              </w:rPr>
              <w:t>How frequent are purchases and what is the value distribution?</w:t>
            </w:r>
          </w:p>
        </w:tc>
        <w:tc>
          <w:tcPr>
            <w:tcW w:type="dxa" w:w="2498"/>
            <w:shd w:fill="F3F5F7"/>
            <w:tcMar>
              <w:top w:w="90" w:type="dxa"/>
              <w:start w:w="100" w:type="dxa"/>
              <w:bottom w:w="90" w:type="dxa"/>
              <w:end w:w="100" w:type="dxa"/>
            </w:tcMar>
            <w:vAlign w:val="top"/>
          </w:tcPr>
          <w:p>
            <w:pPr>
              <w:spacing w:after="0" w:line="240" w:lineRule="auto"/>
            </w:pPr>
            <w:r>
              <w:rPr>
                <w:sz w:val="14"/>
              </w:rPr>
              <w:t>Distinct orders/customer; net order value; frequency; currency.</w:t>
            </w:r>
          </w:p>
        </w:tc>
        <w:tc>
          <w:tcPr>
            <w:tcW w:type="dxa" w:w="2498"/>
            <w:shd w:fill="F3F5F7"/>
            <w:tcMar>
              <w:top w:w="90" w:type="dxa"/>
              <w:start w:w="100" w:type="dxa"/>
              <w:bottom w:w="90" w:type="dxa"/>
              <w:end w:w="100" w:type="dxa"/>
            </w:tcMar>
            <w:vAlign w:val="top"/>
          </w:tcPr>
          <w:p>
            <w:pPr>
              <w:spacing w:after="0" w:line="240" w:lineRule="auto"/>
            </w:pPr>
            <w:r>
              <w:rPr>
                <w:sz w:val="14"/>
              </w:rPr>
              <w:t>Summary statistics/quantiles; histogram and boxplot (log axis only if labeled).</w:t>
            </w:r>
          </w:p>
        </w:tc>
        <w:tc>
          <w:tcPr>
            <w:tcW w:type="dxa" w:w="2498"/>
            <w:shd w:fill="F3F5F7"/>
            <w:tcMar>
              <w:top w:w="90" w:type="dxa"/>
              <w:start w:w="100" w:type="dxa"/>
              <w:bottom w:w="90" w:type="dxa"/>
              <w:end w:w="100" w:type="dxa"/>
            </w:tcMar>
            <w:vAlign w:val="top"/>
          </w:tcPr>
          <w:p>
            <w:pPr>
              <w:spacing w:after="0" w:line="240" w:lineRule="auto"/>
            </w:pPr>
            <w:r>
              <w:rPr>
                <w:sz w:val="14"/>
              </w:rPr>
              <w:t>Understand skew, outliers, and reporting summaries.</w:t>
            </w:r>
          </w:p>
        </w:tc>
      </w:tr>
      <w:tr>
        <w:tc>
          <w:tcPr>
            <w:tcW w:type="dxa" w:w="2498"/>
            <w:tcMar>
              <w:top w:w="90" w:type="dxa"/>
              <w:start w:w="100" w:type="dxa"/>
              <w:bottom w:w="90" w:type="dxa"/>
              <w:end w:w="100" w:type="dxa"/>
            </w:tcMar>
            <w:vAlign w:val="top"/>
          </w:tcPr>
          <w:p>
            <w:pPr>
              <w:spacing w:after="0" w:line="240" w:lineRule="auto"/>
            </w:pPr>
            <w:r>
              <w:rPr>
                <w:sz w:val="14"/>
              </w:rPr>
              <w:t>Which categories contribute to repeat behavior?</w:t>
            </w:r>
          </w:p>
        </w:tc>
        <w:tc>
          <w:tcPr>
            <w:tcW w:type="dxa" w:w="2498"/>
            <w:tcMar>
              <w:top w:w="90" w:type="dxa"/>
              <w:start w:w="100" w:type="dxa"/>
              <w:bottom w:w="90" w:type="dxa"/>
              <w:end w:w="100" w:type="dxa"/>
            </w:tcMar>
            <w:vAlign w:val="top"/>
          </w:tcPr>
          <w:p>
            <w:pPr>
              <w:spacing w:after="0" w:line="240" w:lineRule="auto"/>
            </w:pPr>
            <w:r>
              <w:rPr>
                <w:sz w:val="14"/>
              </w:rPr>
              <w:t>First category, repeat flags, cohort, maturity, category sales.</w:t>
            </w:r>
          </w:p>
        </w:tc>
        <w:tc>
          <w:tcPr>
            <w:tcW w:type="dxa" w:w="2498"/>
            <w:tcMar>
              <w:top w:w="90" w:type="dxa"/>
              <w:start w:w="100" w:type="dxa"/>
              <w:bottom w:w="90" w:type="dxa"/>
              <w:end w:w="100" w:type="dxa"/>
            </w:tcMar>
            <w:vAlign w:val="top"/>
          </w:tcPr>
          <w:p>
            <w:pPr>
              <w:spacing w:after="0" w:line="240" w:lineRule="auto"/>
            </w:pPr>
            <w:r>
              <w:rPr>
                <w:sz w:val="14"/>
              </w:rPr>
              <w:t>Mature cohort pivot with denominators; bar/interval plot.</w:t>
            </w:r>
          </w:p>
        </w:tc>
        <w:tc>
          <w:tcPr>
            <w:tcW w:type="dxa" w:w="2498"/>
            <w:tcMar>
              <w:top w:w="90" w:type="dxa"/>
              <w:start w:w="100" w:type="dxa"/>
              <w:bottom w:w="90" w:type="dxa"/>
              <w:end w:w="100" w:type="dxa"/>
            </w:tcMar>
            <w:vAlign w:val="top"/>
          </w:tcPr>
          <w:p>
            <w:pPr>
              <w:spacing w:after="0" w:line="240" w:lineRule="auto"/>
            </w:pPr>
            <w:r>
              <w:rPr>
                <w:sz w:val="14"/>
              </w:rPr>
              <w:t>Prioritize categories for follow-up, not assert product causality.</w:t>
            </w:r>
          </w:p>
        </w:tc>
      </w:tr>
      <w:tr>
        <w:tc>
          <w:tcPr>
            <w:tcW w:type="dxa" w:w="2498"/>
            <w:shd w:fill="F3F5F7"/>
            <w:tcMar>
              <w:top w:w="90" w:type="dxa"/>
              <w:start w:w="100" w:type="dxa"/>
              <w:bottom w:w="90" w:type="dxa"/>
              <w:end w:w="100" w:type="dxa"/>
            </w:tcMar>
            <w:vAlign w:val="top"/>
          </w:tcPr>
          <w:p>
            <w:pPr>
              <w:spacing w:after="0" w:line="240" w:lineRule="auto"/>
            </w:pPr>
            <w:r>
              <w:rPr>
                <w:sz w:val="14"/>
              </w:rPr>
              <w:t>How do recency and frequency vary?</w:t>
            </w:r>
          </w:p>
        </w:tc>
        <w:tc>
          <w:tcPr>
            <w:tcW w:type="dxa" w:w="2498"/>
            <w:shd w:fill="F3F5F7"/>
            <w:tcMar>
              <w:top w:w="90" w:type="dxa"/>
              <w:start w:w="100" w:type="dxa"/>
              <w:bottom w:w="90" w:type="dxa"/>
              <w:end w:w="100" w:type="dxa"/>
            </w:tcMar>
            <w:vAlign w:val="top"/>
          </w:tcPr>
          <w:p>
            <w:pPr>
              <w:spacing w:after="0" w:line="240" w:lineRule="auto"/>
            </w:pPr>
            <w:r>
              <w:rPr>
                <w:sz w:val="14"/>
              </w:rPr>
              <w:t>Cutoff-safe recency, frequency, tenure, repeat horizon.</w:t>
            </w:r>
          </w:p>
        </w:tc>
        <w:tc>
          <w:tcPr>
            <w:tcW w:type="dxa" w:w="2498"/>
            <w:shd w:fill="F3F5F7"/>
            <w:tcMar>
              <w:top w:w="90" w:type="dxa"/>
              <w:start w:w="100" w:type="dxa"/>
              <w:bottom w:w="90" w:type="dxa"/>
              <w:end w:w="100" w:type="dxa"/>
            </w:tcMar>
            <w:vAlign w:val="top"/>
          </w:tcPr>
          <w:p>
            <w:pPr>
              <w:spacing w:after="0" w:line="240" w:lineRule="auto"/>
            </w:pPr>
            <w:r>
              <w:rPr>
                <w:sz w:val="14"/>
              </w:rPr>
              <w:t>RFM table and bins; recency-vs-repeat plot with confidence intervals.</w:t>
            </w:r>
          </w:p>
        </w:tc>
        <w:tc>
          <w:tcPr>
            <w:tcW w:type="dxa" w:w="2498"/>
            <w:shd w:fill="F3F5F7"/>
            <w:tcMar>
              <w:top w:w="90" w:type="dxa"/>
              <w:start w:w="100" w:type="dxa"/>
              <w:bottom w:w="90" w:type="dxa"/>
              <w:end w:w="100" w:type="dxa"/>
            </w:tcMar>
            <w:vAlign w:val="top"/>
          </w:tcPr>
          <w:p>
            <w:pPr>
              <w:spacing w:after="0" w:line="240" w:lineRule="auto"/>
            </w:pPr>
            <w:r>
              <w:rPr>
                <w:sz w:val="14"/>
              </w:rPr>
              <w:t>Plan future relevance or replenishment tests.</w:t>
            </w:r>
          </w:p>
        </w:tc>
      </w:tr>
      <w:tr>
        <w:tc>
          <w:tcPr>
            <w:tcW w:type="dxa" w:w="2498"/>
            <w:tcMar>
              <w:top w:w="90" w:type="dxa"/>
              <w:start w:w="100" w:type="dxa"/>
              <w:bottom w:w="90" w:type="dxa"/>
              <w:end w:w="100" w:type="dxa"/>
            </w:tcMar>
            <w:vAlign w:val="top"/>
          </w:tcPr>
          <w:p>
            <w:pPr>
              <w:spacing w:after="0" w:line="240" w:lineRule="auto"/>
            </w:pPr>
            <w:r>
              <w:rPr>
                <w:sz w:val="14"/>
              </w:rPr>
              <w:t>Do retention patterns vary by cohort?</w:t>
            </w:r>
          </w:p>
        </w:tc>
        <w:tc>
          <w:tcPr>
            <w:tcW w:type="dxa" w:w="2498"/>
            <w:tcMar>
              <w:top w:w="90" w:type="dxa"/>
              <w:start w:w="100" w:type="dxa"/>
              <w:bottom w:w="90" w:type="dxa"/>
              <w:end w:w="100" w:type="dxa"/>
            </w:tcMar>
            <w:vAlign w:val="top"/>
          </w:tcPr>
          <w:p>
            <w:pPr>
              <w:spacing w:after="0" w:line="240" w:lineRule="auto"/>
            </w:pPr>
            <w:r>
              <w:rPr>
                <w:sz w:val="14"/>
              </w:rPr>
              <w:t>First-order cohort, elapsed follow-up, repeat event, censor date.</w:t>
            </w:r>
          </w:p>
        </w:tc>
        <w:tc>
          <w:tcPr>
            <w:tcW w:type="dxa" w:w="2498"/>
            <w:tcMar>
              <w:top w:w="90" w:type="dxa"/>
              <w:start w:w="100" w:type="dxa"/>
              <w:bottom w:w="90" w:type="dxa"/>
              <w:end w:w="100" w:type="dxa"/>
            </w:tcMar>
            <w:vAlign w:val="top"/>
          </w:tcPr>
          <w:p>
            <w:pPr>
              <w:spacing w:after="0" w:line="240" w:lineRule="auto"/>
            </w:pPr>
            <w:r>
              <w:rPr>
                <w:sz w:val="14"/>
              </w:rPr>
              <w:t>Cohort retention matrix and time-to-event curve with at-risk counts.</w:t>
            </w:r>
          </w:p>
        </w:tc>
        <w:tc>
          <w:tcPr>
            <w:tcW w:type="dxa" w:w="2498"/>
            <w:tcMar>
              <w:top w:w="90" w:type="dxa"/>
              <w:start w:w="100" w:type="dxa"/>
              <w:bottom w:w="90" w:type="dxa"/>
              <w:end w:w="100" w:type="dxa"/>
            </w:tcMar>
            <w:vAlign w:val="top"/>
          </w:tcPr>
          <w:p>
            <w:pPr>
              <w:spacing w:after="0" w:line="240" w:lineRule="auto"/>
            </w:pPr>
            <w:r>
              <w:rPr>
                <w:sz w:val="14"/>
              </w:rPr>
              <w:t>Avoid comparing immature cohorts; identify follow-up windows.</w:t>
            </w:r>
          </w:p>
        </w:tc>
      </w:tr>
      <w:tr>
        <w:tc>
          <w:tcPr>
            <w:tcW w:type="dxa" w:w="2498"/>
            <w:shd w:fill="F3F5F7"/>
            <w:tcMar>
              <w:top w:w="90" w:type="dxa"/>
              <w:start w:w="100" w:type="dxa"/>
              <w:bottom w:w="90" w:type="dxa"/>
              <w:end w:w="100" w:type="dxa"/>
            </w:tcMar>
            <w:vAlign w:val="top"/>
          </w:tcPr>
          <w:p>
            <w:pPr>
              <w:spacing w:after="0" w:line="240" w:lineRule="auto"/>
            </w:pPr>
            <w:r>
              <w:rPr>
                <w:sz w:val="14"/>
              </w:rPr>
              <w:t>Do approved segments differ?</w:t>
            </w:r>
          </w:p>
        </w:tc>
        <w:tc>
          <w:tcPr>
            <w:tcW w:type="dxa" w:w="2498"/>
            <w:shd w:fill="F3F5F7"/>
            <w:tcMar>
              <w:top w:w="90" w:type="dxa"/>
              <w:start w:w="100" w:type="dxa"/>
              <w:bottom w:w="90" w:type="dxa"/>
              <w:end w:w="100" w:type="dxa"/>
            </w:tcMar>
            <w:vAlign w:val="top"/>
          </w:tcPr>
          <w:p>
            <w:pPr>
              <w:spacing w:after="0" w:line="240" w:lineRule="auto"/>
            </w:pPr>
            <w:r>
              <w:rPr>
                <w:sz w:val="14"/>
              </w:rPr>
              <w:t>Predefined RFM segment; future AOV/frequency/repeat.</w:t>
            </w:r>
          </w:p>
        </w:tc>
        <w:tc>
          <w:tcPr>
            <w:tcW w:type="dxa" w:w="2498"/>
            <w:shd w:fill="F3F5F7"/>
            <w:tcMar>
              <w:top w:w="90" w:type="dxa"/>
              <w:start w:w="100" w:type="dxa"/>
              <w:bottom w:w="90" w:type="dxa"/>
              <w:end w:w="100" w:type="dxa"/>
            </w:tcMar>
            <w:vAlign w:val="top"/>
          </w:tcPr>
          <w:p>
            <w:pPr>
              <w:spacing w:after="0" w:line="240" w:lineRule="auto"/>
            </w:pPr>
            <w:r>
              <w:rPr>
                <w:sz w:val="14"/>
              </w:rPr>
              <w:t>Box/violin and interval plots; suitable group comparison.</w:t>
            </w:r>
          </w:p>
        </w:tc>
        <w:tc>
          <w:tcPr>
            <w:tcW w:type="dxa" w:w="2498"/>
            <w:shd w:fill="F3F5F7"/>
            <w:tcMar>
              <w:top w:w="90" w:type="dxa"/>
              <w:start w:w="100" w:type="dxa"/>
              <w:bottom w:w="90" w:type="dxa"/>
              <w:end w:w="100" w:type="dxa"/>
            </w:tcMar>
            <w:vAlign w:val="top"/>
          </w:tcPr>
          <w:p>
            <w:pPr>
              <w:spacing w:after="0" w:line="240" w:lineRule="auto"/>
            </w:pPr>
            <w:r>
              <w:rPr>
                <w:sz w:val="14"/>
              </w:rPr>
              <w:t>Describe needs/value patterns with no causal interpretation.</w:t>
            </w:r>
          </w:p>
        </w:tc>
      </w:tr>
      <w:tr>
        <w:tc>
          <w:tcPr>
            <w:tcW w:type="dxa" w:w="2498"/>
            <w:tcMar>
              <w:top w:w="90" w:type="dxa"/>
              <w:start w:w="100" w:type="dxa"/>
              <w:bottom w:w="90" w:type="dxa"/>
              <w:end w:w="100" w:type="dxa"/>
            </w:tcMar>
            <w:vAlign w:val="top"/>
          </w:tcPr>
          <w:p>
            <w:pPr>
              <w:spacing w:after="0" w:line="240" w:lineRule="auto"/>
            </w:pPr>
            <w:r>
              <w:rPr>
                <w:sz w:val="14"/>
              </w:rPr>
              <w:t>Are numeric fields associated?</w:t>
            </w:r>
          </w:p>
        </w:tc>
        <w:tc>
          <w:tcPr>
            <w:tcW w:type="dxa" w:w="2498"/>
            <w:tcMar>
              <w:top w:w="90" w:type="dxa"/>
              <w:start w:w="100" w:type="dxa"/>
              <w:bottom w:w="90" w:type="dxa"/>
              <w:end w:w="100" w:type="dxa"/>
            </w:tcMar>
            <w:vAlign w:val="top"/>
          </w:tcPr>
          <w:p>
            <w:pPr>
              <w:spacing w:after="0" w:line="240" w:lineRule="auto"/>
            </w:pPr>
            <w:r>
              <w:rPr>
                <w:sz w:val="14"/>
              </w:rPr>
              <w:t>Pre-specified numeric variables after quality checks.</w:t>
            </w:r>
          </w:p>
        </w:tc>
        <w:tc>
          <w:tcPr>
            <w:tcW w:type="dxa" w:w="2498"/>
            <w:tcMar>
              <w:top w:w="90" w:type="dxa"/>
              <w:start w:w="100" w:type="dxa"/>
              <w:bottom w:w="90" w:type="dxa"/>
              <w:end w:w="100" w:type="dxa"/>
            </w:tcMar>
            <w:vAlign w:val="top"/>
          </w:tcPr>
          <w:p>
            <w:pPr>
              <w:spacing w:after="0" w:line="240" w:lineRule="auto"/>
            </w:pPr>
            <w:r>
              <w:rPr>
                <w:sz w:val="14"/>
              </w:rPr>
              <w:t>Pearson for suitable linear/continuous assumptions; Spearman for monotonic/ranked data; correlation heatmap only as exploratory.</w:t>
            </w:r>
          </w:p>
        </w:tc>
        <w:tc>
          <w:tcPr>
            <w:tcW w:type="dxa" w:w="2498"/>
            <w:tcMar>
              <w:top w:w="90" w:type="dxa"/>
              <w:start w:w="100" w:type="dxa"/>
              <w:bottom w:w="90" w:type="dxa"/>
              <w:end w:w="100" w:type="dxa"/>
            </w:tcMar>
            <w:vAlign w:val="top"/>
          </w:tcPr>
          <w:p>
            <w:pPr>
              <w:spacing w:after="0" w:line="240" w:lineRule="auto"/>
            </w:pPr>
            <w:r>
              <w:rPr>
                <w:sz w:val="14"/>
              </w:rPr>
              <w:t>Generate testable follow-up questions; avoid causal interpretation.</w:t>
            </w:r>
          </w:p>
        </w:tc>
      </w:tr>
    </w:tbl>
    <w:p>
      <w:pPr>
        <w:spacing w:after="20"/>
      </w:pPr>
    </w:p>
    <w:tbl>
      <w:tblPr>
        <w:tblW w:type="auto" w:w="0"/>
        <w:jc w:val="center"/>
        <w:tblLook w:firstColumn="1" w:firstRow="1" w:lastColumn="0" w:lastRow="0" w:noHBand="0" w:noVBand="1" w:val="04A0"/>
      </w:tblPr>
      <w:tblGrid>
        <w:gridCol w:w="9994"/>
      </w:tblGrid>
      <w:tr>
        <w:tc>
          <w:tcPr>
            <w:tcW w:type="dxa" w:w="9994"/>
            <w:shd w:fill="E8F4F3"/>
            <w:tcMar>
              <w:top w:w="150" w:type="dxa"/>
              <w:start w:w="180" w:type="dxa"/>
              <w:bottom w:w="150" w:type="dxa"/>
              <w:end w:w="180" w:type="dxa"/>
            </w:tcMar>
          </w:tcPr>
          <w:p>
            <w:pPr>
              <w:spacing w:after="0"/>
            </w:pPr>
            <w:r>
              <w:rPr>
                <w:b/>
                <w:color w:val="138A8A"/>
              </w:rPr>
              <w:t xml:space="preserve">EDA RULE  </w:t>
            </w:r>
            <w:r>
              <w:t>Every comparison must show its population, time window, denominator, and follow-up completeness. Visual patterns are not causal explanations.</w:t>
            </w:r>
          </w:p>
        </w:tc>
      </w:tr>
    </w:tbl>
    <w:p>
      <w:pPr>
        <w:spacing w:after="0"/>
      </w:pPr>
    </w:p>
    <w:p>
      <w:pPr>
        <w:pStyle w:val="Heading1"/>
        <w:keepNext/>
      </w:pPr>
      <w:r>
        <w:t>8. Analytical methods and evaluation</w:t>
      </w:r>
    </w:p>
    <w:p>
      <w:pPr>
        <w:pStyle w:val="Heading2"/>
        <w:keepNext/>
      </w:pPr>
      <w:r>
        <w:t>8.1 Descriptive and inferential methods</w:t>
      </w:r>
    </w:p>
    <w:p>
      <w:pPr>
        <w:spacing w:after="120" w:line="259" w:lineRule="auto"/>
      </w:pPr>
      <w:r>
        <w:t>Start with anchored cohort tables, horizon-based repeat rates, and time-to-event summaries. Kaplan–Meier estimates may be appropriate for time to second purchase when censoring assumptions and event definition are defensible. Group tests should match outcome type, sampling, independence, and sample size. Report effect sizes and intervals; regression adjustment can address specified covariates but does not convert an observational association into causal evidence.</w:t>
      </w:r>
    </w:p>
    <w:p>
      <w:pPr>
        <w:pStyle w:val="Heading2"/>
        <w:keepNext/>
      </w:pPr>
      <w:r>
        <w:t>8.1.1 Method selection and assumptions</w:t>
      </w:r>
    </w:p>
    <w:p>
      <w:pPr>
        <w:pStyle w:val="Caption"/>
        <w:keepNext/>
        <w:spacing w:before="60" w:after="60"/>
      </w:pPr>
      <w:r>
        <w:t>Table 16. Method / When it may fit / Assumptions / caution</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vAlign w:val="center"/>
          </w:tcPr>
          <w:p>
            <w:pPr>
              <w:spacing w:after="0"/>
            </w:pPr>
            <w:r>
              <w:rPr>
                <w:b/>
                <w:color w:val="FFFFFF"/>
                <w:sz w:val="14"/>
              </w:rPr>
              <w:t>Method</w:t>
            </w:r>
          </w:p>
        </w:tc>
        <w:tc>
          <w:tcPr>
            <w:tcW w:type="dxa" w:w="3331"/>
            <w:shd w:fill="17324D"/>
            <w:tcMar>
              <w:top w:w="90" w:type="dxa"/>
              <w:start w:w="100" w:type="dxa"/>
              <w:bottom w:w="90" w:type="dxa"/>
              <w:end w:w="100" w:type="dxa"/>
            </w:tcMar>
            <w:vAlign w:val="center"/>
          </w:tcPr>
          <w:p>
            <w:pPr>
              <w:spacing w:after="0"/>
            </w:pPr>
            <w:r>
              <w:rPr>
                <w:b/>
                <w:color w:val="FFFFFF"/>
                <w:sz w:val="14"/>
              </w:rPr>
              <w:t>When it may fit</w:t>
            </w:r>
          </w:p>
        </w:tc>
        <w:tc>
          <w:tcPr>
            <w:tcW w:type="dxa" w:w="3331"/>
            <w:shd w:fill="17324D"/>
            <w:tcMar>
              <w:top w:w="90" w:type="dxa"/>
              <w:start w:w="100" w:type="dxa"/>
              <w:bottom w:w="90" w:type="dxa"/>
              <w:end w:w="100" w:type="dxa"/>
            </w:tcMar>
            <w:vAlign w:val="center"/>
          </w:tcPr>
          <w:p>
            <w:pPr>
              <w:spacing w:after="0"/>
            </w:pPr>
            <w:r>
              <w:rPr>
                <w:b/>
                <w:color w:val="FFFFFF"/>
                <w:sz w:val="14"/>
              </w:rPr>
              <w:t>Assumptions / caution</w:t>
            </w:r>
          </w:p>
        </w:tc>
      </w:tr>
      <w:tr>
        <w:tc>
          <w:tcPr>
            <w:tcW w:type="dxa" w:w="3331"/>
            <w:tcMar>
              <w:top w:w="90" w:type="dxa"/>
              <w:start w:w="100" w:type="dxa"/>
              <w:bottom w:w="90" w:type="dxa"/>
              <w:end w:w="100" w:type="dxa"/>
            </w:tcMar>
            <w:vAlign w:val="top"/>
          </w:tcPr>
          <w:p>
            <w:pPr>
              <w:spacing w:after="0" w:line="240" w:lineRule="auto"/>
            </w:pPr>
            <w:r>
              <w:rPr>
                <w:sz w:val="14"/>
              </w:rPr>
              <w:t>Descriptive statistics, frequency tables, cross-tabs</w:t>
            </w:r>
          </w:p>
        </w:tc>
        <w:tc>
          <w:tcPr>
            <w:tcW w:type="dxa" w:w="3331"/>
            <w:tcMar>
              <w:top w:w="90" w:type="dxa"/>
              <w:start w:w="100" w:type="dxa"/>
              <w:bottom w:w="90" w:type="dxa"/>
              <w:end w:w="100" w:type="dxa"/>
            </w:tcMar>
            <w:vAlign w:val="top"/>
          </w:tcPr>
          <w:p>
            <w:pPr>
              <w:spacing w:after="0" w:line="240" w:lineRule="auto"/>
            </w:pPr>
            <w:r>
              <w:rPr>
                <w:sz w:val="14"/>
              </w:rPr>
              <w:t>Always begin here to understand denominators, distributions, and group composition.</w:t>
            </w:r>
          </w:p>
        </w:tc>
        <w:tc>
          <w:tcPr>
            <w:tcW w:type="dxa" w:w="3331"/>
            <w:tcMar>
              <w:top w:w="90" w:type="dxa"/>
              <w:start w:w="100" w:type="dxa"/>
              <w:bottom w:w="90" w:type="dxa"/>
              <w:end w:w="100" w:type="dxa"/>
            </w:tcMar>
            <w:vAlign w:val="top"/>
          </w:tcPr>
          <w:p>
            <w:pPr>
              <w:spacing w:after="0" w:line="240" w:lineRule="auto"/>
            </w:pPr>
            <w:r>
              <w:rPr>
                <w:sz w:val="14"/>
              </w:rPr>
              <w:t>Report missingness, observation coverage, and uncertainty; exploratory patterns do not establish causes.</w:t>
            </w:r>
          </w:p>
        </w:tc>
      </w:tr>
      <w:tr>
        <w:tc>
          <w:tcPr>
            <w:tcW w:type="dxa" w:w="3331"/>
            <w:shd w:fill="F3F5F7"/>
            <w:tcMar>
              <w:top w:w="90" w:type="dxa"/>
              <w:start w:w="100" w:type="dxa"/>
              <w:bottom w:w="90" w:type="dxa"/>
              <w:end w:w="100" w:type="dxa"/>
            </w:tcMar>
            <w:vAlign w:val="top"/>
          </w:tcPr>
          <w:p>
            <w:pPr>
              <w:spacing w:after="0" w:line="240" w:lineRule="auto"/>
            </w:pPr>
            <w:r>
              <w:rPr>
                <w:sz w:val="14"/>
              </w:rPr>
              <w:t>Chi-square test</w:t>
            </w:r>
          </w:p>
        </w:tc>
        <w:tc>
          <w:tcPr>
            <w:tcW w:type="dxa" w:w="3331"/>
            <w:shd w:fill="F3F5F7"/>
            <w:tcMar>
              <w:top w:w="90" w:type="dxa"/>
              <w:start w:w="100" w:type="dxa"/>
              <w:bottom w:w="90" w:type="dxa"/>
              <w:end w:w="100" w:type="dxa"/>
            </w:tcMar>
            <w:vAlign w:val="top"/>
          </w:tcPr>
          <w:p>
            <w:pPr>
              <w:spacing w:after="0" w:line="240" w:lineRule="auto"/>
            </w:pPr>
            <w:r>
              <w:rPr>
                <w:sz w:val="14"/>
              </w:rPr>
              <w:t>Association between suitable categorical variables such as first category and repeat flag.</w:t>
            </w:r>
          </w:p>
        </w:tc>
        <w:tc>
          <w:tcPr>
            <w:tcW w:type="dxa" w:w="3331"/>
            <w:shd w:fill="F3F5F7"/>
            <w:tcMar>
              <w:top w:w="90" w:type="dxa"/>
              <w:start w:w="100" w:type="dxa"/>
              <w:bottom w:w="90" w:type="dxa"/>
              <w:end w:w="100" w:type="dxa"/>
            </w:tcMar>
            <w:vAlign w:val="top"/>
          </w:tcPr>
          <w:p>
            <w:pPr>
              <w:spacing w:after="0" w:line="240" w:lineRule="auto"/>
            </w:pPr>
            <w:r>
              <w:rPr>
                <w:sz w:val="14"/>
              </w:rPr>
              <w:t>Independent units and adequate expected cell counts; use exact/Monte Carlo approach or justified aggregation for sparse cells.</w:t>
            </w:r>
          </w:p>
        </w:tc>
      </w:tr>
      <w:tr>
        <w:tc>
          <w:tcPr>
            <w:tcW w:type="dxa" w:w="3331"/>
            <w:tcMar>
              <w:top w:w="90" w:type="dxa"/>
              <w:start w:w="100" w:type="dxa"/>
              <w:bottom w:w="90" w:type="dxa"/>
              <w:end w:w="100" w:type="dxa"/>
            </w:tcMar>
            <w:vAlign w:val="top"/>
          </w:tcPr>
          <w:p>
            <w:pPr>
              <w:spacing w:after="0" w:line="240" w:lineRule="auto"/>
            </w:pPr>
            <w:r>
              <w:rPr>
                <w:sz w:val="14"/>
              </w:rPr>
              <w:t>t-test / Welch t-test; ANOVA / Welch ANOVA</w:t>
            </w:r>
          </w:p>
        </w:tc>
        <w:tc>
          <w:tcPr>
            <w:tcW w:type="dxa" w:w="3331"/>
            <w:tcMar>
              <w:top w:w="90" w:type="dxa"/>
              <w:start w:w="100" w:type="dxa"/>
              <w:bottom w:w="90" w:type="dxa"/>
              <w:end w:w="100" w:type="dxa"/>
            </w:tcMar>
            <w:vAlign w:val="top"/>
          </w:tcPr>
          <w:p>
            <w:pPr>
              <w:spacing w:after="0" w:line="240" w:lineRule="auto"/>
            </w:pPr>
            <w:r>
              <w:rPr>
                <w:sz w:val="14"/>
              </w:rPr>
              <w:t>Compare means of continuous outcomes across two or several independent groups when residual/distribution behavior is acceptable.</w:t>
            </w:r>
          </w:p>
        </w:tc>
        <w:tc>
          <w:tcPr>
            <w:tcW w:type="dxa" w:w="3331"/>
            <w:tcMar>
              <w:top w:w="90" w:type="dxa"/>
              <w:start w:w="100" w:type="dxa"/>
              <w:bottom w:w="90" w:type="dxa"/>
              <w:end w:w="100" w:type="dxa"/>
            </w:tcMar>
            <w:vAlign w:val="top"/>
          </w:tcPr>
          <w:p>
            <w:pPr>
              <w:spacing w:after="0" w:line="240" w:lineRule="auto"/>
            </w:pPr>
            <w:r>
              <w:rPr>
                <w:sz w:val="14"/>
              </w:rPr>
              <w:t>Independence, distribution and variance conditions; Welch handles unequal variance but not dependence or severe data problems.</w:t>
            </w:r>
          </w:p>
        </w:tc>
      </w:tr>
      <w:tr>
        <w:tc>
          <w:tcPr>
            <w:tcW w:type="dxa" w:w="3331"/>
            <w:shd w:fill="F3F5F7"/>
            <w:tcMar>
              <w:top w:w="90" w:type="dxa"/>
              <w:start w:w="100" w:type="dxa"/>
              <w:bottom w:w="90" w:type="dxa"/>
              <w:end w:w="100" w:type="dxa"/>
            </w:tcMar>
            <w:vAlign w:val="top"/>
          </w:tcPr>
          <w:p>
            <w:pPr>
              <w:spacing w:after="0" w:line="240" w:lineRule="auto"/>
            </w:pPr>
            <w:r>
              <w:rPr>
                <w:sz w:val="14"/>
              </w:rPr>
              <w:t>Non-parametric / robust alternative</w:t>
            </w:r>
          </w:p>
        </w:tc>
        <w:tc>
          <w:tcPr>
            <w:tcW w:type="dxa" w:w="3331"/>
            <w:shd w:fill="F3F5F7"/>
            <w:tcMar>
              <w:top w:w="90" w:type="dxa"/>
              <w:start w:w="100" w:type="dxa"/>
              <w:bottom w:w="90" w:type="dxa"/>
              <w:end w:w="100" w:type="dxa"/>
            </w:tcMar>
            <w:vAlign w:val="top"/>
          </w:tcPr>
          <w:p>
            <w:pPr>
              <w:spacing w:after="0" w:line="240" w:lineRule="auto"/>
            </w:pPr>
            <w:r>
              <w:rPr>
                <w:sz w:val="14"/>
              </w:rPr>
              <w:t>Mann–Whitney or Kruskal–Wallis for ranked/distribution comparisons; bootstrap intervals for skewed metrics when appropriate.</w:t>
            </w:r>
          </w:p>
        </w:tc>
        <w:tc>
          <w:tcPr>
            <w:tcW w:type="dxa" w:w="3331"/>
            <w:shd w:fill="F3F5F7"/>
            <w:tcMar>
              <w:top w:w="90" w:type="dxa"/>
              <w:start w:w="100" w:type="dxa"/>
              <w:bottom w:w="90" w:type="dxa"/>
              <w:end w:w="100" w:type="dxa"/>
            </w:tcMar>
            <w:vAlign w:val="top"/>
          </w:tcPr>
          <w:p>
            <w:pPr>
              <w:spacing w:after="0" w:line="240" w:lineRule="auto"/>
            </w:pPr>
            <w:r>
              <w:rPr>
                <w:sz w:val="14"/>
              </w:rPr>
              <w:t>Tests may concern distributions/ranks, not means; independence and appropriate sampling still matter.</w:t>
            </w:r>
          </w:p>
        </w:tc>
      </w:tr>
      <w:tr>
        <w:tc>
          <w:tcPr>
            <w:tcW w:type="dxa" w:w="3331"/>
            <w:tcMar>
              <w:top w:w="90" w:type="dxa"/>
              <w:start w:w="100" w:type="dxa"/>
              <w:bottom w:w="90" w:type="dxa"/>
              <w:end w:w="100" w:type="dxa"/>
            </w:tcMar>
            <w:vAlign w:val="top"/>
          </w:tcPr>
          <w:p>
            <w:pPr>
              <w:spacing w:after="0" w:line="240" w:lineRule="auto"/>
            </w:pPr>
            <w:r>
              <w:rPr>
                <w:sz w:val="14"/>
              </w:rPr>
              <w:t>Correlation</w:t>
            </w:r>
          </w:p>
        </w:tc>
        <w:tc>
          <w:tcPr>
            <w:tcW w:type="dxa" w:w="3331"/>
            <w:tcMar>
              <w:top w:w="90" w:type="dxa"/>
              <w:start w:w="100" w:type="dxa"/>
              <w:bottom w:w="90" w:type="dxa"/>
              <w:end w:w="100" w:type="dxa"/>
            </w:tcMar>
            <w:vAlign w:val="top"/>
          </w:tcPr>
          <w:p>
            <w:pPr>
              <w:spacing w:after="0" w:line="240" w:lineRule="auto"/>
            </w:pPr>
            <w:r>
              <w:rPr>
                <w:sz w:val="14"/>
              </w:rPr>
              <w:t>Explore linear Pearson or monotonic Spearman relationship between suitable numeric/ranked fields.</w:t>
            </w:r>
          </w:p>
        </w:tc>
        <w:tc>
          <w:tcPr>
            <w:tcW w:type="dxa" w:w="3331"/>
            <w:tcMar>
              <w:top w:w="90" w:type="dxa"/>
              <w:start w:w="100" w:type="dxa"/>
              <w:bottom w:w="90" w:type="dxa"/>
              <w:end w:w="100" w:type="dxa"/>
            </w:tcMar>
            <w:vAlign w:val="top"/>
          </w:tcPr>
          <w:p>
            <w:pPr>
              <w:spacing w:after="0" w:line="240" w:lineRule="auto"/>
            </w:pPr>
            <w:r>
              <w:rPr>
                <w:sz w:val="14"/>
              </w:rPr>
              <w:t>Association only; outliers, nonlinear patterns, and confounding matter; do not use correlation as proof of a driver.</w:t>
            </w:r>
          </w:p>
        </w:tc>
      </w:tr>
      <w:tr>
        <w:tc>
          <w:tcPr>
            <w:tcW w:type="dxa" w:w="3331"/>
            <w:shd w:fill="F3F5F7"/>
            <w:tcMar>
              <w:top w:w="90" w:type="dxa"/>
              <w:start w:w="100" w:type="dxa"/>
              <w:bottom w:w="90" w:type="dxa"/>
              <w:end w:w="100" w:type="dxa"/>
            </w:tcMar>
            <w:vAlign w:val="top"/>
          </w:tcPr>
          <w:p>
            <w:pPr>
              <w:spacing w:after="0" w:line="240" w:lineRule="auto"/>
            </w:pPr>
            <w:r>
              <w:rPr>
                <w:sz w:val="14"/>
              </w:rPr>
              <w:t>RFM segmentation</w:t>
            </w:r>
          </w:p>
        </w:tc>
        <w:tc>
          <w:tcPr>
            <w:tcW w:type="dxa" w:w="3331"/>
            <w:shd w:fill="F3F5F7"/>
            <w:tcMar>
              <w:top w:w="90" w:type="dxa"/>
              <w:start w:w="100" w:type="dxa"/>
              <w:bottom w:w="90" w:type="dxa"/>
              <w:end w:w="100" w:type="dxa"/>
            </w:tcMar>
            <w:vAlign w:val="top"/>
          </w:tcPr>
          <w:p>
            <w:pPr>
              <w:spacing w:after="0" w:line="240" w:lineRule="auto"/>
            </w:pPr>
            <w:r>
              <w:rPr>
                <w:sz w:val="14"/>
              </w:rPr>
              <w:t>Interpretable recency/frequency/monetary summaries or pre-defined bins for descriptive comparison.</w:t>
            </w:r>
          </w:p>
        </w:tc>
        <w:tc>
          <w:tcPr>
            <w:tcW w:type="dxa" w:w="3331"/>
            <w:shd w:fill="F3F5F7"/>
            <w:tcMar>
              <w:top w:w="90" w:type="dxa"/>
              <w:start w:w="100" w:type="dxa"/>
              <w:bottom w:w="90" w:type="dxa"/>
              <w:end w:w="100" w:type="dxa"/>
            </w:tcMar>
            <w:vAlign w:val="top"/>
          </w:tcPr>
          <w:p>
            <w:pPr>
              <w:spacing w:after="0" w:line="240" w:lineRule="auto"/>
            </w:pPr>
            <w:r>
              <w:rPr>
                <w:sz w:val="14"/>
              </w:rPr>
              <w:t>Set consistent lookbacks, adequate history, scaling/bin rules and cutoff; segments are descriptions, not inherently true customer types.</w:t>
            </w:r>
          </w:p>
        </w:tc>
      </w:tr>
      <w:tr>
        <w:tc>
          <w:tcPr>
            <w:tcW w:type="dxa" w:w="3331"/>
            <w:tcMar>
              <w:top w:w="90" w:type="dxa"/>
              <w:start w:w="100" w:type="dxa"/>
              <w:bottom w:w="90" w:type="dxa"/>
              <w:end w:w="100" w:type="dxa"/>
            </w:tcMar>
            <w:vAlign w:val="top"/>
          </w:tcPr>
          <w:p>
            <w:pPr>
              <w:spacing w:after="0" w:line="240" w:lineRule="auto"/>
            </w:pPr>
            <w:r>
              <w:rPr>
                <w:sz w:val="14"/>
              </w:rPr>
              <w:t>Logistic regression</w:t>
            </w:r>
          </w:p>
        </w:tc>
        <w:tc>
          <w:tcPr>
            <w:tcW w:type="dxa" w:w="3331"/>
            <w:tcMar>
              <w:top w:w="90" w:type="dxa"/>
              <w:start w:w="100" w:type="dxa"/>
              <w:bottom w:w="90" w:type="dxa"/>
              <w:end w:w="100" w:type="dxa"/>
            </w:tcMar>
            <w:vAlign w:val="top"/>
          </w:tcPr>
          <w:p>
            <w:pPr>
              <w:spacing w:after="0" w:line="240" w:lineRule="auto"/>
            </w:pPr>
            <w:r>
              <w:rPr>
                <w:sz w:val="14"/>
              </w:rPr>
              <w:t>Transparent baseline for binary future-repeat outcome with interpretable adjusted associations.</w:t>
            </w:r>
          </w:p>
        </w:tc>
        <w:tc>
          <w:tcPr>
            <w:tcW w:type="dxa" w:w="3331"/>
            <w:tcMar>
              <w:top w:w="90" w:type="dxa"/>
              <w:start w:w="100" w:type="dxa"/>
              <w:bottom w:w="90" w:type="dxa"/>
              <w:end w:w="100" w:type="dxa"/>
            </w:tcMar>
            <w:vAlign w:val="top"/>
          </w:tcPr>
          <w:p>
            <w:pPr>
              <w:spacing w:after="0" w:line="240" w:lineRule="auto"/>
            </w:pPr>
            <w:r>
              <w:rPr>
                <w:sz w:val="14"/>
              </w:rPr>
              <w:t>Temporal split, complete label window, calibration, collinearity/functional form, sufficient events; coefficients are not causal.</w:t>
            </w:r>
          </w:p>
        </w:tc>
      </w:tr>
      <w:tr>
        <w:tc>
          <w:tcPr>
            <w:tcW w:type="dxa" w:w="3331"/>
            <w:shd w:fill="F3F5F7"/>
            <w:tcMar>
              <w:top w:w="90" w:type="dxa"/>
              <w:start w:w="100" w:type="dxa"/>
              <w:bottom w:w="90" w:type="dxa"/>
              <w:end w:w="100" w:type="dxa"/>
            </w:tcMar>
            <w:vAlign w:val="top"/>
          </w:tcPr>
          <w:p>
            <w:pPr>
              <w:spacing w:after="0" w:line="240" w:lineRule="auto"/>
            </w:pPr>
            <w:r>
              <w:rPr>
                <w:sz w:val="14"/>
              </w:rPr>
              <w:t>Decision tree / random forest</w:t>
            </w:r>
          </w:p>
        </w:tc>
        <w:tc>
          <w:tcPr>
            <w:tcW w:type="dxa" w:w="3331"/>
            <w:shd w:fill="F3F5F7"/>
            <w:tcMar>
              <w:top w:w="90" w:type="dxa"/>
              <w:start w:w="100" w:type="dxa"/>
              <w:bottom w:w="90" w:type="dxa"/>
              <w:end w:w="100" w:type="dxa"/>
            </w:tcMar>
            <w:vAlign w:val="top"/>
          </w:tcPr>
          <w:p>
            <w:pPr>
              <w:spacing w:after="0" w:line="240" w:lineRule="auto"/>
            </w:pPr>
            <w:r>
              <w:rPr>
                <w:sz w:val="14"/>
              </w:rPr>
              <w:t>Optional nonlinear benchmark if it improves a named decision over the baseline.</w:t>
            </w:r>
          </w:p>
        </w:tc>
        <w:tc>
          <w:tcPr>
            <w:tcW w:type="dxa" w:w="3331"/>
            <w:shd w:fill="F3F5F7"/>
            <w:tcMar>
              <w:top w:w="90" w:type="dxa"/>
              <w:start w:w="100" w:type="dxa"/>
              <w:bottom w:w="90" w:type="dxa"/>
              <w:end w:w="100" w:type="dxa"/>
            </w:tcMar>
            <w:vAlign w:val="top"/>
          </w:tcPr>
          <w:p>
            <w:pPr>
              <w:spacing w:after="0" w:line="240" w:lineRule="auto"/>
            </w:pPr>
            <w:r>
              <w:rPr>
                <w:sz w:val="14"/>
              </w:rPr>
              <w:t>Control overfitting, leakage, interpretability, calibration, stability, and temporal generalization; do not add complexity without value.</w:t>
            </w:r>
          </w:p>
        </w:tc>
      </w:tr>
      <w:tr>
        <w:tc>
          <w:tcPr>
            <w:tcW w:type="dxa" w:w="3331"/>
            <w:tcMar>
              <w:top w:w="90" w:type="dxa"/>
              <w:start w:w="100" w:type="dxa"/>
              <w:bottom w:w="90" w:type="dxa"/>
              <w:end w:w="100" w:type="dxa"/>
            </w:tcMar>
            <w:vAlign w:val="top"/>
          </w:tcPr>
          <w:p>
            <w:pPr>
              <w:spacing w:after="0" w:line="240" w:lineRule="auto"/>
            </w:pPr>
            <w:r>
              <w:rPr>
                <w:sz w:val="14"/>
              </w:rPr>
              <w:t>Clustering</w:t>
            </w:r>
          </w:p>
        </w:tc>
        <w:tc>
          <w:tcPr>
            <w:tcW w:type="dxa" w:w="3331"/>
            <w:tcMar>
              <w:top w:w="90" w:type="dxa"/>
              <w:start w:w="100" w:type="dxa"/>
              <w:bottom w:w="90" w:type="dxa"/>
              <w:end w:w="100" w:type="dxa"/>
            </w:tcMar>
            <w:vAlign w:val="top"/>
          </w:tcPr>
          <w:p>
            <w:pPr>
              <w:spacing w:after="0" w:line="240" w:lineRule="auto"/>
            </w:pPr>
            <w:r>
              <w:rPr>
                <w:sz w:val="14"/>
              </w:rPr>
              <w:t>Optional exploratory segmentation only if volume and feature quality justify it and clusters are stable/actionable.</w:t>
            </w:r>
          </w:p>
        </w:tc>
        <w:tc>
          <w:tcPr>
            <w:tcW w:type="dxa" w:w="3331"/>
            <w:tcMar>
              <w:top w:w="90" w:type="dxa"/>
              <w:start w:w="100" w:type="dxa"/>
              <w:bottom w:w="90" w:type="dxa"/>
              <w:end w:w="100" w:type="dxa"/>
            </w:tcMar>
            <w:vAlign w:val="top"/>
          </w:tcPr>
          <w:p>
            <w:pPr>
              <w:spacing w:after="0" w:line="240" w:lineRule="auto"/>
            </w:pPr>
            <w:r>
              <w:rPr>
                <w:sz w:val="14"/>
              </w:rPr>
              <w:t>Scale appropriate features, handle skew/missingness, assess stability and usefulness; silhouette alone does not establish business value.</w:t>
            </w:r>
          </w:p>
        </w:tc>
      </w:tr>
    </w:tbl>
    <w:p>
      <w:pPr>
        <w:spacing w:after="20"/>
      </w:pPr>
    </w:p>
    <w:p>
      <w:pPr>
        <w:pStyle w:val="Heading2"/>
        <w:keepNext/>
      </w:pPr>
      <w:r>
        <w:t>8.2 Optional predictive modeling</w:t>
      </w:r>
    </w:p>
    <w:p>
      <w:pPr>
        <w:spacing w:after="120" w:line="259" w:lineRule="auto"/>
      </w:pPr>
      <w:r>
        <w:t>Model only if a named business decision needs ranking or probability estimates and data-readiness criteria pass. Define the prediction cutoff, eligible customer population, future outcome horizon, and positive class first. Use a chronological train/validation/test split, separate customers across partitions, and exclude every field created after the cutoff. Fit preprocessing inside training folds. Compare scikit-learn logistic regression to a prevalence-only baseline before considering a more complex estimator.</w:t>
      </w:r>
    </w:p>
    <w:p>
      <w:pPr>
        <w:pStyle w:val="Caption"/>
        <w:keepNext/>
        <w:spacing w:before="60" w:after="60"/>
      </w:pPr>
      <w:r>
        <w:t>Table 17. Metric / Proposed use / Decision caveat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vAlign w:val="center"/>
          </w:tcPr>
          <w:p>
            <w:pPr>
              <w:spacing w:after="0"/>
            </w:pPr>
            <w:r>
              <w:rPr>
                <w:b/>
                <w:color w:val="FFFFFF"/>
                <w:sz w:val="16"/>
              </w:rPr>
              <w:t>Metric</w:t>
            </w:r>
          </w:p>
        </w:tc>
        <w:tc>
          <w:tcPr>
            <w:tcW w:type="dxa" w:w="3331"/>
            <w:shd w:fill="17324D"/>
            <w:tcMar>
              <w:top w:w="90" w:type="dxa"/>
              <w:start w:w="100" w:type="dxa"/>
              <w:bottom w:w="90" w:type="dxa"/>
              <w:end w:w="100" w:type="dxa"/>
            </w:tcMar>
            <w:vAlign w:val="center"/>
          </w:tcPr>
          <w:p>
            <w:pPr>
              <w:spacing w:after="0"/>
            </w:pPr>
            <w:r>
              <w:rPr>
                <w:b/>
                <w:color w:val="FFFFFF"/>
                <w:sz w:val="16"/>
              </w:rPr>
              <w:t>Proposed use</w:t>
            </w:r>
          </w:p>
        </w:tc>
        <w:tc>
          <w:tcPr>
            <w:tcW w:type="dxa" w:w="3331"/>
            <w:shd w:fill="17324D"/>
            <w:tcMar>
              <w:top w:w="90" w:type="dxa"/>
              <w:start w:w="100" w:type="dxa"/>
              <w:bottom w:w="90" w:type="dxa"/>
              <w:end w:w="100" w:type="dxa"/>
            </w:tcMar>
            <w:vAlign w:val="center"/>
          </w:tcPr>
          <w:p>
            <w:pPr>
              <w:spacing w:after="0"/>
            </w:pPr>
            <w:r>
              <w:rPr>
                <w:b/>
                <w:color w:val="FFFFFF"/>
                <w:sz w:val="16"/>
              </w:rPr>
              <w:t>Decision caveat</w:t>
            </w:r>
          </w:p>
        </w:tc>
      </w:tr>
      <w:tr>
        <w:tc>
          <w:tcPr>
            <w:tcW w:type="dxa" w:w="3331"/>
            <w:tcMar>
              <w:top w:w="90" w:type="dxa"/>
              <w:start w:w="100" w:type="dxa"/>
              <w:bottom w:w="90" w:type="dxa"/>
              <w:end w:w="100" w:type="dxa"/>
            </w:tcMar>
            <w:vAlign w:val="top"/>
          </w:tcPr>
          <w:p>
            <w:pPr>
              <w:spacing w:after="0" w:line="240" w:lineRule="auto"/>
            </w:pPr>
            <w:r>
              <w:rPr>
                <w:sz w:val="16"/>
              </w:rPr>
              <w:t>Repeat rate + denominator</w:t>
            </w:r>
          </w:p>
        </w:tc>
        <w:tc>
          <w:tcPr>
            <w:tcW w:type="dxa" w:w="3331"/>
            <w:tcMar>
              <w:top w:w="90" w:type="dxa"/>
              <w:start w:w="100" w:type="dxa"/>
              <w:bottom w:w="90" w:type="dxa"/>
              <w:end w:w="100" w:type="dxa"/>
            </w:tcMar>
            <w:vAlign w:val="top"/>
          </w:tcPr>
          <w:p>
            <w:pPr>
              <w:spacing w:after="0" w:line="240" w:lineRule="auto"/>
            </w:pPr>
            <w:r>
              <w:rPr>
                <w:sz w:val="16"/>
              </w:rPr>
              <w:t>Communicate cohort outcomes at a named horizon.</w:t>
            </w:r>
          </w:p>
        </w:tc>
        <w:tc>
          <w:tcPr>
            <w:tcW w:type="dxa" w:w="3331"/>
            <w:tcMar>
              <w:top w:w="90" w:type="dxa"/>
              <w:start w:w="100" w:type="dxa"/>
              <w:bottom w:w="90" w:type="dxa"/>
              <w:end w:w="100" w:type="dxa"/>
            </w:tcMar>
            <w:vAlign w:val="top"/>
          </w:tcPr>
          <w:p>
            <w:pPr>
              <w:spacing w:after="0" w:line="240" w:lineRule="auto"/>
            </w:pPr>
            <w:r>
              <w:rPr>
                <w:sz w:val="16"/>
              </w:rPr>
              <w:t>Only compare populations with complete, comparable follow-up.</w:t>
            </w:r>
          </w:p>
        </w:tc>
      </w:tr>
      <w:tr>
        <w:tc>
          <w:tcPr>
            <w:tcW w:type="dxa" w:w="3331"/>
            <w:shd w:fill="F3F5F7"/>
            <w:tcMar>
              <w:top w:w="90" w:type="dxa"/>
              <w:start w:w="100" w:type="dxa"/>
              <w:bottom w:w="90" w:type="dxa"/>
              <w:end w:w="100" w:type="dxa"/>
            </w:tcMar>
            <w:vAlign w:val="top"/>
          </w:tcPr>
          <w:p>
            <w:pPr>
              <w:spacing w:after="0" w:line="240" w:lineRule="auto"/>
            </w:pPr>
            <w:r>
              <w:rPr>
                <w:sz w:val="16"/>
              </w:rPr>
              <w:t>Accuracy / precision / recall / F1</w:t>
            </w:r>
          </w:p>
        </w:tc>
        <w:tc>
          <w:tcPr>
            <w:tcW w:type="dxa" w:w="3331"/>
            <w:shd w:fill="F3F5F7"/>
            <w:tcMar>
              <w:top w:w="90" w:type="dxa"/>
              <w:start w:w="100" w:type="dxa"/>
              <w:bottom w:w="90" w:type="dxa"/>
              <w:end w:w="100" w:type="dxa"/>
            </w:tcMar>
            <w:vAlign w:val="top"/>
          </w:tcPr>
          <w:p>
            <w:pPr>
              <w:spacing w:after="0" w:line="240" w:lineRule="auto"/>
            </w:pPr>
            <w:r>
              <w:rPr>
                <w:sz w:val="16"/>
              </w:rPr>
              <w:t>Report threshold-dependent classification behavior where meaningful.</w:t>
            </w:r>
          </w:p>
        </w:tc>
        <w:tc>
          <w:tcPr>
            <w:tcW w:type="dxa" w:w="3331"/>
            <w:shd w:fill="F3F5F7"/>
            <w:tcMar>
              <w:top w:w="90" w:type="dxa"/>
              <w:start w:w="100" w:type="dxa"/>
              <w:bottom w:w="90" w:type="dxa"/>
              <w:end w:w="100" w:type="dxa"/>
            </w:tcMar>
            <w:vAlign w:val="top"/>
          </w:tcPr>
          <w:p>
            <w:pPr>
              <w:spacing w:after="0" w:line="240" w:lineRule="auto"/>
            </w:pPr>
            <w:r>
              <w:rPr>
                <w:sz w:val="16"/>
              </w:rPr>
              <w:t>Accuracy alone can mislead under class imbalance; choose threshold based on action costs.</w:t>
            </w:r>
          </w:p>
        </w:tc>
      </w:tr>
      <w:tr>
        <w:tc>
          <w:tcPr>
            <w:tcW w:type="dxa" w:w="3331"/>
            <w:tcMar>
              <w:top w:w="90" w:type="dxa"/>
              <w:start w:w="100" w:type="dxa"/>
              <w:bottom w:w="90" w:type="dxa"/>
              <w:end w:w="100" w:type="dxa"/>
            </w:tcMar>
            <w:vAlign w:val="top"/>
          </w:tcPr>
          <w:p>
            <w:pPr>
              <w:spacing w:after="0" w:line="240" w:lineRule="auto"/>
            </w:pPr>
            <w:r>
              <w:rPr>
                <w:sz w:val="16"/>
              </w:rPr>
              <w:t>Precision-recall AUC</w:t>
            </w:r>
          </w:p>
        </w:tc>
        <w:tc>
          <w:tcPr>
            <w:tcW w:type="dxa" w:w="3331"/>
            <w:tcMar>
              <w:top w:w="90" w:type="dxa"/>
              <w:start w:w="100" w:type="dxa"/>
              <w:bottom w:w="90" w:type="dxa"/>
              <w:end w:w="100" w:type="dxa"/>
            </w:tcMar>
            <w:vAlign w:val="top"/>
          </w:tcPr>
          <w:p>
            <w:pPr>
              <w:spacing w:after="0" w:line="240" w:lineRule="auto"/>
            </w:pPr>
            <w:r>
              <w:rPr>
                <w:sz w:val="16"/>
              </w:rPr>
              <w:t>Summarize ranking under class imbalance.</w:t>
            </w:r>
          </w:p>
        </w:tc>
        <w:tc>
          <w:tcPr>
            <w:tcW w:type="dxa" w:w="3331"/>
            <w:tcMar>
              <w:top w:w="90" w:type="dxa"/>
              <w:start w:w="100" w:type="dxa"/>
              <w:bottom w:w="90" w:type="dxa"/>
              <w:end w:w="100" w:type="dxa"/>
            </w:tcMar>
            <w:vAlign w:val="top"/>
          </w:tcPr>
          <w:p>
            <w:pPr>
              <w:spacing w:after="0" w:line="240" w:lineRule="auto"/>
            </w:pPr>
            <w:r>
              <w:rPr>
                <w:sz w:val="16"/>
              </w:rPr>
              <w:t>Does not pick a business threshold or show calibration.</w:t>
            </w:r>
          </w:p>
        </w:tc>
      </w:tr>
      <w:tr>
        <w:tc>
          <w:tcPr>
            <w:tcW w:type="dxa" w:w="3331"/>
            <w:shd w:fill="F3F5F7"/>
            <w:tcMar>
              <w:top w:w="90" w:type="dxa"/>
              <w:start w:w="100" w:type="dxa"/>
              <w:bottom w:w="90" w:type="dxa"/>
              <w:end w:w="100" w:type="dxa"/>
            </w:tcMar>
            <w:vAlign w:val="top"/>
          </w:tcPr>
          <w:p>
            <w:pPr>
              <w:spacing w:after="0" w:line="240" w:lineRule="auto"/>
            </w:pPr>
            <w:r>
              <w:rPr>
                <w:sz w:val="16"/>
              </w:rPr>
              <w:t>ROC AUC</w:t>
            </w:r>
          </w:p>
        </w:tc>
        <w:tc>
          <w:tcPr>
            <w:tcW w:type="dxa" w:w="3331"/>
            <w:shd w:fill="F3F5F7"/>
            <w:tcMar>
              <w:top w:w="90" w:type="dxa"/>
              <w:start w:w="100" w:type="dxa"/>
              <w:bottom w:w="90" w:type="dxa"/>
              <w:end w:w="100" w:type="dxa"/>
            </w:tcMar>
            <w:vAlign w:val="top"/>
          </w:tcPr>
          <w:p>
            <w:pPr>
              <w:spacing w:after="0" w:line="240" w:lineRule="auto"/>
            </w:pPr>
            <w:r>
              <w:rPr>
                <w:sz w:val="16"/>
              </w:rPr>
              <w:t>Secondary measure of ranking discrimination.</w:t>
            </w:r>
          </w:p>
        </w:tc>
        <w:tc>
          <w:tcPr>
            <w:tcW w:type="dxa" w:w="3331"/>
            <w:shd w:fill="F3F5F7"/>
            <w:tcMar>
              <w:top w:w="90" w:type="dxa"/>
              <w:start w:w="100" w:type="dxa"/>
              <w:bottom w:w="90" w:type="dxa"/>
              <w:end w:w="100" w:type="dxa"/>
            </w:tcMar>
            <w:vAlign w:val="top"/>
          </w:tcPr>
          <w:p>
            <w:pPr>
              <w:spacing w:after="0" w:line="240" w:lineRule="auto"/>
            </w:pPr>
            <w:r>
              <w:rPr>
                <w:sz w:val="16"/>
              </w:rPr>
              <w:t>Can obscure positive-class performance when prevalence is low.</w:t>
            </w:r>
          </w:p>
        </w:tc>
      </w:tr>
      <w:tr>
        <w:tc>
          <w:tcPr>
            <w:tcW w:type="dxa" w:w="3331"/>
            <w:tcMar>
              <w:top w:w="90" w:type="dxa"/>
              <w:start w:w="100" w:type="dxa"/>
              <w:bottom w:w="90" w:type="dxa"/>
              <w:end w:w="100" w:type="dxa"/>
            </w:tcMar>
            <w:vAlign w:val="top"/>
          </w:tcPr>
          <w:p>
            <w:pPr>
              <w:spacing w:after="0" w:line="240" w:lineRule="auto"/>
            </w:pPr>
            <w:r>
              <w:rPr>
                <w:sz w:val="16"/>
              </w:rPr>
              <w:t>Precision, recall, lift at capacity</w:t>
            </w:r>
          </w:p>
        </w:tc>
        <w:tc>
          <w:tcPr>
            <w:tcW w:type="dxa" w:w="3331"/>
            <w:tcMar>
              <w:top w:w="90" w:type="dxa"/>
              <w:start w:w="100" w:type="dxa"/>
              <w:bottom w:w="90" w:type="dxa"/>
              <w:end w:w="100" w:type="dxa"/>
            </w:tcMar>
            <w:vAlign w:val="top"/>
          </w:tcPr>
          <w:p>
            <w:pPr>
              <w:spacing w:after="0" w:line="240" w:lineRule="auto"/>
            </w:pPr>
            <w:r>
              <w:rPr>
                <w:sz w:val="16"/>
              </w:rPr>
              <w:t>Evaluate quality among the number of customers the team can act on.</w:t>
            </w:r>
          </w:p>
        </w:tc>
        <w:tc>
          <w:tcPr>
            <w:tcW w:type="dxa" w:w="3331"/>
            <w:tcMar>
              <w:top w:w="90" w:type="dxa"/>
              <w:start w:w="100" w:type="dxa"/>
              <w:bottom w:w="90" w:type="dxa"/>
              <w:end w:w="100" w:type="dxa"/>
            </w:tcMar>
            <w:vAlign w:val="top"/>
          </w:tcPr>
          <w:p>
            <w:pPr>
              <w:spacing w:after="0" w:line="240" w:lineRule="auto"/>
            </w:pPr>
            <w:r>
              <w:rPr>
                <w:sz w:val="16"/>
              </w:rPr>
              <w:t>Capacity, costs, and customer safeguards define useful thresholds.</w:t>
            </w:r>
          </w:p>
        </w:tc>
      </w:tr>
      <w:tr>
        <w:tc>
          <w:tcPr>
            <w:tcW w:type="dxa" w:w="3331"/>
            <w:shd w:fill="F3F5F7"/>
            <w:tcMar>
              <w:top w:w="90" w:type="dxa"/>
              <w:start w:w="100" w:type="dxa"/>
              <w:bottom w:w="90" w:type="dxa"/>
              <w:end w:w="100" w:type="dxa"/>
            </w:tcMar>
            <w:vAlign w:val="top"/>
          </w:tcPr>
          <w:p>
            <w:pPr>
              <w:spacing w:after="0" w:line="240" w:lineRule="auto"/>
            </w:pPr>
            <w:r>
              <w:rPr>
                <w:sz w:val="16"/>
              </w:rPr>
              <w:t>Log loss / calibration / Brier score</w:t>
            </w:r>
          </w:p>
        </w:tc>
        <w:tc>
          <w:tcPr>
            <w:tcW w:type="dxa" w:w="3331"/>
            <w:shd w:fill="F3F5F7"/>
            <w:tcMar>
              <w:top w:w="90" w:type="dxa"/>
              <w:start w:w="100" w:type="dxa"/>
              <w:bottom w:w="90" w:type="dxa"/>
              <w:end w:w="100" w:type="dxa"/>
            </w:tcMar>
            <w:vAlign w:val="top"/>
          </w:tcPr>
          <w:p>
            <w:pPr>
              <w:spacing w:after="0" w:line="240" w:lineRule="auto"/>
            </w:pPr>
            <w:r>
              <w:rPr>
                <w:sz w:val="16"/>
              </w:rPr>
              <w:t>Evaluate probability quality if scores will be interpreted as probabilities.</w:t>
            </w:r>
          </w:p>
        </w:tc>
        <w:tc>
          <w:tcPr>
            <w:tcW w:type="dxa" w:w="3331"/>
            <w:shd w:fill="F3F5F7"/>
            <w:tcMar>
              <w:top w:w="90" w:type="dxa"/>
              <w:start w:w="100" w:type="dxa"/>
              <w:bottom w:w="90" w:type="dxa"/>
              <w:end w:w="100" w:type="dxa"/>
            </w:tcMar>
            <w:vAlign w:val="top"/>
          </w:tcPr>
          <w:p>
            <w:pPr>
              <w:spacing w:after="0" w:line="240" w:lineRule="auto"/>
            </w:pPr>
            <w:r>
              <w:rPr>
                <w:sz w:val="16"/>
              </w:rPr>
              <w:t>Calibration must be checked on temporally held-out data.</w:t>
            </w:r>
          </w:p>
        </w:tc>
      </w:tr>
      <w:tr>
        <w:tc>
          <w:tcPr>
            <w:tcW w:type="dxa" w:w="3331"/>
            <w:tcMar>
              <w:top w:w="90" w:type="dxa"/>
              <w:start w:w="100" w:type="dxa"/>
              <w:bottom w:w="90" w:type="dxa"/>
              <w:end w:w="100" w:type="dxa"/>
            </w:tcMar>
            <w:vAlign w:val="top"/>
          </w:tcPr>
          <w:p>
            <w:pPr>
              <w:spacing w:after="0" w:line="240" w:lineRule="auto"/>
            </w:pPr>
            <w:r>
              <w:rPr>
                <w:sz w:val="16"/>
              </w:rPr>
              <w:t>Incremental margin + guardrails</w:t>
            </w:r>
          </w:p>
        </w:tc>
        <w:tc>
          <w:tcPr>
            <w:tcW w:type="dxa" w:w="3331"/>
            <w:tcMar>
              <w:top w:w="90" w:type="dxa"/>
              <w:start w:w="100" w:type="dxa"/>
              <w:bottom w:w="90" w:type="dxa"/>
              <w:end w:w="100" w:type="dxa"/>
            </w:tcMar>
            <w:vAlign w:val="top"/>
          </w:tcPr>
          <w:p>
            <w:pPr>
              <w:spacing w:after="0" w:line="240" w:lineRule="auto"/>
            </w:pPr>
            <w:r>
              <w:rPr>
                <w:sz w:val="16"/>
              </w:rPr>
              <w:t>Evaluate intervention economics and experience in an experiment.</w:t>
            </w:r>
          </w:p>
        </w:tc>
        <w:tc>
          <w:tcPr>
            <w:tcW w:type="dxa" w:w="3331"/>
            <w:tcMar>
              <w:top w:w="90" w:type="dxa"/>
              <w:start w:w="100" w:type="dxa"/>
              <w:bottom w:w="90" w:type="dxa"/>
              <w:end w:w="100" w:type="dxa"/>
            </w:tcMar>
            <w:vAlign w:val="top"/>
          </w:tcPr>
          <w:p>
            <w:pPr>
              <w:spacing w:after="0" w:line="240" w:lineRule="auto"/>
            </w:pPr>
            <w:r>
              <w:rPr>
                <w:sz w:val="16"/>
              </w:rPr>
              <w:t>Use randomized holdout where feasible; define opt-out/complaint safeguards.</w:t>
            </w:r>
          </w:p>
        </w:tc>
      </w:tr>
    </w:tbl>
    <w:p>
      <w:pPr>
        <w:spacing w:after="20"/>
      </w:pPr>
    </w:p>
    <w:p>
      <w:pPr>
        <w:spacing w:after="120" w:line="259" w:lineRule="auto"/>
      </w:pPr>
      <w:r>
        <w:t>No universal pass threshold is assumed. Agree business capacity, cost, minimum practical effect, uncertainty, sample-size method, and stop conditions before seeing holdout results. The customer-analytics literature [5]–[7] motivates these candidate methods, but findings and model assumptions must be tested locally. Tool documentation for planned evaluation metrics is listed in reference [8].</w:t>
      </w:r>
    </w:p>
    <w:p>
      <w:pPr>
        <w:pStyle w:val="Heading2"/>
        <w:keepNext/>
      </w:pPr>
      <w:r>
        <w:t>8.3 Expected value and proposed business KPIs</w:t>
      </w:r>
    </w:p>
    <w:p>
      <w:pPr>
        <w:pStyle w:val="Caption"/>
        <w:keepNext/>
        <w:spacing w:before="60" w:after="60"/>
      </w:pPr>
      <w:r>
        <w:t>Table 18. KPI family / Candidate measure / Interpretation safeguard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vAlign w:val="center"/>
          </w:tcPr>
          <w:p>
            <w:pPr>
              <w:spacing w:after="0"/>
            </w:pPr>
            <w:r>
              <w:rPr>
                <w:b/>
                <w:color w:val="FFFFFF"/>
                <w:sz w:val="15"/>
              </w:rPr>
              <w:t>KPI family</w:t>
            </w:r>
          </w:p>
        </w:tc>
        <w:tc>
          <w:tcPr>
            <w:tcW w:type="dxa" w:w="3331"/>
            <w:shd w:fill="17324D"/>
            <w:tcMar>
              <w:top w:w="90" w:type="dxa"/>
              <w:start w:w="100" w:type="dxa"/>
              <w:bottom w:w="90" w:type="dxa"/>
              <w:end w:w="100" w:type="dxa"/>
            </w:tcMar>
            <w:vAlign w:val="center"/>
          </w:tcPr>
          <w:p>
            <w:pPr>
              <w:spacing w:after="0"/>
            </w:pPr>
            <w:r>
              <w:rPr>
                <w:b/>
                <w:color w:val="FFFFFF"/>
                <w:sz w:val="15"/>
              </w:rPr>
              <w:t>Candidate measure</w:t>
            </w:r>
          </w:p>
        </w:tc>
        <w:tc>
          <w:tcPr>
            <w:tcW w:type="dxa" w:w="3331"/>
            <w:shd w:fill="17324D"/>
            <w:tcMar>
              <w:top w:w="90" w:type="dxa"/>
              <w:start w:w="100" w:type="dxa"/>
              <w:bottom w:w="90" w:type="dxa"/>
              <w:end w:w="100" w:type="dxa"/>
            </w:tcMar>
            <w:vAlign w:val="center"/>
          </w:tcPr>
          <w:p>
            <w:pPr>
              <w:spacing w:after="0"/>
            </w:pPr>
            <w:r>
              <w:rPr>
                <w:b/>
                <w:color w:val="FFFFFF"/>
                <w:sz w:val="15"/>
              </w:rPr>
              <w:t>Interpretation safeguard</w:t>
            </w:r>
          </w:p>
        </w:tc>
      </w:tr>
      <w:tr>
        <w:tc>
          <w:tcPr>
            <w:tcW w:type="dxa" w:w="3331"/>
            <w:tcMar>
              <w:top w:w="90" w:type="dxa"/>
              <w:start w:w="100" w:type="dxa"/>
              <w:bottom w:w="90" w:type="dxa"/>
              <w:end w:w="100" w:type="dxa"/>
            </w:tcMar>
            <w:vAlign w:val="top"/>
          </w:tcPr>
          <w:p>
            <w:pPr>
              <w:spacing w:after="0" w:line="240" w:lineRule="auto"/>
            </w:pPr>
            <w:r>
              <w:rPr>
                <w:sz w:val="15"/>
              </w:rPr>
              <w:t>Customer retention</w:t>
            </w:r>
          </w:p>
        </w:tc>
        <w:tc>
          <w:tcPr>
            <w:tcW w:type="dxa" w:w="3331"/>
            <w:tcMar>
              <w:top w:w="90" w:type="dxa"/>
              <w:start w:w="100" w:type="dxa"/>
              <w:bottom w:w="90" w:type="dxa"/>
              <w:end w:w="100" w:type="dxa"/>
            </w:tcMar>
            <w:vAlign w:val="top"/>
          </w:tcPr>
          <w:p>
            <w:pPr>
              <w:spacing w:after="0" w:line="240" w:lineRule="auto"/>
            </w:pPr>
            <w:r>
              <w:rPr>
                <w:sz w:val="15"/>
              </w:rPr>
              <w:t>90/180/365-day repeat rate; time to second qualifying purchase.</w:t>
            </w:r>
          </w:p>
        </w:tc>
        <w:tc>
          <w:tcPr>
            <w:tcW w:type="dxa" w:w="3331"/>
            <w:tcMar>
              <w:top w:w="90" w:type="dxa"/>
              <w:start w:w="100" w:type="dxa"/>
              <w:bottom w:w="90" w:type="dxa"/>
              <w:end w:w="100" w:type="dxa"/>
            </w:tcMar>
            <w:vAlign w:val="top"/>
          </w:tcPr>
          <w:p>
            <w:pPr>
              <w:spacing w:after="0" w:line="240" w:lineRule="auto"/>
            </w:pPr>
            <w:r>
              <w:rPr>
                <w:sz w:val="15"/>
              </w:rPr>
              <w:t>Predefine horizon and complete-follow-up denominator; no benchmark is presumed.</w:t>
            </w:r>
          </w:p>
        </w:tc>
      </w:tr>
      <w:tr>
        <w:tc>
          <w:tcPr>
            <w:tcW w:type="dxa" w:w="3331"/>
            <w:shd w:fill="F3F5F7"/>
            <w:tcMar>
              <w:top w:w="90" w:type="dxa"/>
              <w:start w:w="100" w:type="dxa"/>
              <w:bottom w:w="90" w:type="dxa"/>
              <w:end w:w="100" w:type="dxa"/>
            </w:tcMar>
            <w:vAlign w:val="top"/>
          </w:tcPr>
          <w:p>
            <w:pPr>
              <w:spacing w:after="0" w:line="240" w:lineRule="auto"/>
            </w:pPr>
            <w:r>
              <w:rPr>
                <w:sz w:val="15"/>
              </w:rPr>
              <w:t>Purchase/value</w:t>
            </w:r>
          </w:p>
        </w:tc>
        <w:tc>
          <w:tcPr>
            <w:tcW w:type="dxa" w:w="3331"/>
            <w:shd w:fill="F3F5F7"/>
            <w:tcMar>
              <w:top w:w="90" w:type="dxa"/>
              <w:start w:w="100" w:type="dxa"/>
              <w:bottom w:w="90" w:type="dxa"/>
              <w:end w:w="100" w:type="dxa"/>
            </w:tcMar>
            <w:vAlign w:val="top"/>
          </w:tcPr>
          <w:p>
            <w:pPr>
              <w:spacing w:after="0" w:line="240" w:lineRule="auto"/>
            </w:pPr>
            <w:r>
              <w:rPr>
                <w:sz w:val="15"/>
              </w:rPr>
              <w:t>Orders per eligible customer; net AOV; contribution margin after promotion/contact cost.</w:t>
            </w:r>
          </w:p>
        </w:tc>
        <w:tc>
          <w:tcPr>
            <w:tcW w:type="dxa" w:w="3331"/>
            <w:shd w:fill="F3F5F7"/>
            <w:tcMar>
              <w:top w:w="90" w:type="dxa"/>
              <w:start w:w="100" w:type="dxa"/>
              <w:bottom w:w="90" w:type="dxa"/>
              <w:end w:w="100" w:type="dxa"/>
            </w:tcMar>
            <w:vAlign w:val="top"/>
          </w:tcPr>
          <w:p>
            <w:pPr>
              <w:spacing w:after="0" w:line="240" w:lineRule="auto"/>
            </w:pPr>
            <w:r>
              <w:rPr>
                <w:sz w:val="15"/>
              </w:rPr>
              <w:t>Agree finance definitions, returns, currency and tax treatment.</w:t>
            </w:r>
          </w:p>
        </w:tc>
      </w:tr>
      <w:tr>
        <w:tc>
          <w:tcPr>
            <w:tcW w:type="dxa" w:w="3331"/>
            <w:tcMar>
              <w:top w:w="90" w:type="dxa"/>
              <w:start w:w="100" w:type="dxa"/>
              <w:bottom w:w="90" w:type="dxa"/>
              <w:end w:w="100" w:type="dxa"/>
            </w:tcMar>
            <w:vAlign w:val="top"/>
          </w:tcPr>
          <w:p>
            <w:pPr>
              <w:spacing w:after="0" w:line="240" w:lineRule="auto"/>
            </w:pPr>
            <w:r>
              <w:rPr>
                <w:sz w:val="15"/>
              </w:rPr>
              <w:t>Marketing effectiveness</w:t>
            </w:r>
          </w:p>
        </w:tc>
        <w:tc>
          <w:tcPr>
            <w:tcW w:type="dxa" w:w="3331"/>
            <w:tcMar>
              <w:top w:w="90" w:type="dxa"/>
              <w:start w:w="100" w:type="dxa"/>
              <w:bottom w:w="90" w:type="dxa"/>
              <w:end w:w="100" w:type="dxa"/>
            </w:tcMar>
            <w:vAlign w:val="top"/>
          </w:tcPr>
          <w:p>
            <w:pPr>
              <w:spacing w:after="0" w:line="240" w:lineRule="auto"/>
            </w:pPr>
            <w:r>
              <w:rPr>
                <w:sz w:val="15"/>
              </w:rPr>
              <w:t>Randomized incremental repeat rate and incremental contribution margin.</w:t>
            </w:r>
          </w:p>
        </w:tc>
        <w:tc>
          <w:tcPr>
            <w:tcW w:type="dxa" w:w="3331"/>
            <w:tcMar>
              <w:top w:w="90" w:type="dxa"/>
              <w:start w:w="100" w:type="dxa"/>
              <w:bottom w:w="90" w:type="dxa"/>
              <w:end w:w="100" w:type="dxa"/>
            </w:tcMar>
            <w:vAlign w:val="top"/>
          </w:tcPr>
          <w:p>
            <w:pPr>
              <w:spacing w:after="0" w:line="240" w:lineRule="auto"/>
            </w:pPr>
            <w:r>
              <w:rPr>
                <w:sz w:val="15"/>
              </w:rPr>
              <w:t>Use holdout when feasible; observational association is not campaign lift.</w:t>
            </w:r>
          </w:p>
        </w:tc>
      </w:tr>
      <w:tr>
        <w:tc>
          <w:tcPr>
            <w:tcW w:type="dxa" w:w="3331"/>
            <w:shd w:fill="F3F5F7"/>
            <w:tcMar>
              <w:top w:w="90" w:type="dxa"/>
              <w:start w:w="100" w:type="dxa"/>
              <w:bottom w:w="90" w:type="dxa"/>
              <w:end w:w="100" w:type="dxa"/>
            </w:tcMar>
            <w:vAlign w:val="top"/>
          </w:tcPr>
          <w:p>
            <w:pPr>
              <w:spacing w:after="0" w:line="240" w:lineRule="auto"/>
            </w:pPr>
            <w:r>
              <w:rPr>
                <w:sz w:val="15"/>
              </w:rPr>
              <w:t>Customer guardrails</w:t>
            </w:r>
          </w:p>
        </w:tc>
        <w:tc>
          <w:tcPr>
            <w:tcW w:type="dxa" w:w="3331"/>
            <w:shd w:fill="F3F5F7"/>
            <w:tcMar>
              <w:top w:w="90" w:type="dxa"/>
              <w:start w:w="100" w:type="dxa"/>
              <w:bottom w:w="90" w:type="dxa"/>
              <w:end w:w="100" w:type="dxa"/>
            </w:tcMar>
            <w:vAlign w:val="top"/>
          </w:tcPr>
          <w:p>
            <w:pPr>
              <w:spacing w:after="0" w:line="240" w:lineRule="auto"/>
            </w:pPr>
            <w:r>
              <w:rPr>
                <w:sz w:val="15"/>
              </w:rPr>
              <w:t>Opt-out, complaint, return, unsubscribe, and approved experience measures.</w:t>
            </w:r>
          </w:p>
        </w:tc>
        <w:tc>
          <w:tcPr>
            <w:tcW w:type="dxa" w:w="3331"/>
            <w:shd w:fill="F3F5F7"/>
            <w:tcMar>
              <w:top w:w="90" w:type="dxa"/>
              <w:start w:w="100" w:type="dxa"/>
              <w:bottom w:w="90" w:type="dxa"/>
              <w:end w:w="100" w:type="dxa"/>
            </w:tcMar>
            <w:vAlign w:val="top"/>
          </w:tcPr>
          <w:p>
            <w:pPr>
              <w:spacing w:after="0" w:line="240" w:lineRule="auto"/>
            </w:pPr>
            <w:r>
              <w:rPr>
                <w:sz w:val="15"/>
              </w:rPr>
              <w:t>Set stop conditions before campaign; use only permitted contact channels.</w:t>
            </w:r>
          </w:p>
        </w:tc>
      </w:tr>
      <w:tr>
        <w:tc>
          <w:tcPr>
            <w:tcW w:type="dxa" w:w="3331"/>
            <w:tcMar>
              <w:top w:w="90" w:type="dxa"/>
              <w:start w:w="100" w:type="dxa"/>
              <w:bottom w:w="90" w:type="dxa"/>
              <w:end w:w="100" w:type="dxa"/>
            </w:tcMar>
            <w:vAlign w:val="top"/>
          </w:tcPr>
          <w:p>
            <w:pPr>
              <w:spacing w:after="0" w:line="240" w:lineRule="auto"/>
            </w:pPr>
            <w:r>
              <w:rPr>
                <w:sz w:val="15"/>
              </w:rPr>
              <w:t>Predictive usefulness</w:t>
            </w:r>
          </w:p>
        </w:tc>
        <w:tc>
          <w:tcPr>
            <w:tcW w:type="dxa" w:w="3331"/>
            <w:tcMar>
              <w:top w:w="90" w:type="dxa"/>
              <w:start w:w="100" w:type="dxa"/>
              <w:bottom w:w="90" w:type="dxa"/>
              <w:end w:w="100" w:type="dxa"/>
            </w:tcMar>
            <w:vAlign w:val="top"/>
          </w:tcPr>
          <w:p>
            <w:pPr>
              <w:spacing w:after="0" w:line="240" w:lineRule="auto"/>
            </w:pPr>
            <w:r>
              <w:rPr>
                <w:sz w:val="15"/>
              </w:rPr>
              <w:t>Lift/precision at contact capacity, calibration, and temporal stability.</w:t>
            </w:r>
          </w:p>
        </w:tc>
        <w:tc>
          <w:tcPr>
            <w:tcW w:type="dxa" w:w="3331"/>
            <w:tcMar>
              <w:top w:w="90" w:type="dxa"/>
              <w:start w:w="100" w:type="dxa"/>
              <w:bottom w:w="90" w:type="dxa"/>
              <w:end w:w="100" w:type="dxa"/>
            </w:tcMar>
            <w:vAlign w:val="top"/>
          </w:tcPr>
          <w:p>
            <w:pPr>
              <w:spacing w:after="0" w:line="240" w:lineRule="auto"/>
            </w:pPr>
            <w:r>
              <w:rPr>
                <w:sz w:val="15"/>
              </w:rPr>
              <w:t>Score quality alone does not show intervention value or permission to contact.</w:t>
            </w:r>
          </w:p>
        </w:tc>
      </w:tr>
    </w:tbl>
    <w:p>
      <w:pPr>
        <w:spacing w:after="20"/>
      </w:pPr>
    </w:p>
    <w:p>
      <w:r>
        <w:br w:type="page"/>
      </w:r>
    </w:p>
    <w:p>
      <w:pPr>
        <w:pStyle w:val="Heading1"/>
        <w:keepNext/>
      </w:pPr>
      <w:r>
        <w:t>9. Business recommendation and test framework</w:t>
      </w:r>
    </w:p>
    <w:p>
      <w:pPr>
        <w:spacing w:after="120" w:line="259" w:lineRule="auto"/>
      </w:pPr>
      <w:r>
        <w:t>Recommendations will be considered only after data validation and interpretation. Score each candidate on evidence strength, customer benefit, incremental business value, operational feasibility, privacy/fairness risk, and testability. Keep the evidence chain visible: observation → interpretation → decision hypothesis → test → scale/stop.</w:t>
      </w:r>
    </w:p>
    <w:p>
      <w:pPr>
        <w:pStyle w:val="Caption"/>
        <w:keepNext/>
        <w:spacing w:before="60" w:after="60"/>
      </w:pPr>
      <w:r>
        <w:t>Table 19. Experiment-card field / Required specification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vAlign w:val="center"/>
          </w:tcPr>
          <w:p>
            <w:pPr>
              <w:spacing w:after="0"/>
            </w:pPr>
            <w:r>
              <w:rPr>
                <w:b/>
                <w:color w:val="FFFFFF"/>
                <w:sz w:val="17"/>
              </w:rPr>
              <w:t>Experiment-card field</w:t>
            </w:r>
          </w:p>
        </w:tc>
        <w:tc>
          <w:tcPr>
            <w:tcW w:type="dxa" w:w="4997"/>
            <w:shd w:fill="17324D"/>
            <w:tcMar>
              <w:top w:w="90" w:type="dxa"/>
              <w:start w:w="100" w:type="dxa"/>
              <w:bottom w:w="90" w:type="dxa"/>
              <w:end w:w="100" w:type="dxa"/>
            </w:tcMar>
            <w:vAlign w:val="center"/>
          </w:tcPr>
          <w:p>
            <w:pPr>
              <w:spacing w:after="0"/>
            </w:pPr>
            <w:r>
              <w:rPr>
                <w:b/>
                <w:color w:val="FFFFFF"/>
                <w:sz w:val="17"/>
              </w:rPr>
              <w:t>Required specification</w:t>
            </w:r>
          </w:p>
        </w:tc>
      </w:tr>
      <w:tr>
        <w:tc>
          <w:tcPr>
            <w:tcW w:type="dxa" w:w="4997"/>
            <w:tcMar>
              <w:top w:w="90" w:type="dxa"/>
              <w:start w:w="100" w:type="dxa"/>
              <w:bottom w:w="90" w:type="dxa"/>
              <w:end w:w="100" w:type="dxa"/>
            </w:tcMar>
            <w:vAlign w:val="top"/>
          </w:tcPr>
          <w:p>
            <w:pPr>
              <w:spacing w:after="0" w:line="240" w:lineRule="auto"/>
            </w:pPr>
            <w:r>
              <w:rPr>
                <w:sz w:val="17"/>
              </w:rPr>
              <w:t>Decision and hypothesis</w:t>
            </w:r>
          </w:p>
        </w:tc>
        <w:tc>
          <w:tcPr>
            <w:tcW w:type="dxa" w:w="4997"/>
            <w:tcMar>
              <w:top w:w="90" w:type="dxa"/>
              <w:start w:w="100" w:type="dxa"/>
              <w:bottom w:w="90" w:type="dxa"/>
              <w:end w:w="100" w:type="dxa"/>
            </w:tcMar>
            <w:vAlign w:val="top"/>
          </w:tcPr>
          <w:p>
            <w:pPr>
              <w:spacing w:after="0" w:line="240" w:lineRule="auto"/>
            </w:pPr>
            <w:r>
              <w:rPr>
                <w:sz w:val="17"/>
              </w:rPr>
              <w:t>What action is being tested and why; distinguish evidence from assumption.</w:t>
            </w:r>
          </w:p>
        </w:tc>
      </w:tr>
      <w:tr>
        <w:tc>
          <w:tcPr>
            <w:tcW w:type="dxa" w:w="4997"/>
            <w:shd w:fill="F3F5F7"/>
            <w:tcMar>
              <w:top w:w="90" w:type="dxa"/>
              <w:start w:w="100" w:type="dxa"/>
              <w:bottom w:w="90" w:type="dxa"/>
              <w:end w:w="100" w:type="dxa"/>
            </w:tcMar>
            <w:vAlign w:val="top"/>
          </w:tcPr>
          <w:p>
            <w:pPr>
              <w:spacing w:after="0" w:line="240" w:lineRule="auto"/>
            </w:pPr>
            <w:r>
              <w:rPr>
                <w:sz w:val="17"/>
              </w:rPr>
              <w:t>Population and exclusions</w:t>
            </w:r>
          </w:p>
        </w:tc>
        <w:tc>
          <w:tcPr>
            <w:tcW w:type="dxa" w:w="4997"/>
            <w:shd w:fill="F3F5F7"/>
            <w:tcMar>
              <w:top w:w="90" w:type="dxa"/>
              <w:start w:w="100" w:type="dxa"/>
              <w:bottom w:w="90" w:type="dxa"/>
              <w:end w:w="100" w:type="dxa"/>
            </w:tcMar>
            <w:vAlign w:val="top"/>
          </w:tcPr>
          <w:p>
            <w:pPr>
              <w:spacing w:after="0" w:line="240" w:lineRule="auto"/>
            </w:pPr>
            <w:r>
              <w:rPr>
                <w:sz w:val="17"/>
              </w:rPr>
              <w:t>Eligibility, consent, channel reachability, and exclusion/suppression rules.</w:t>
            </w:r>
          </w:p>
        </w:tc>
      </w:tr>
      <w:tr>
        <w:tc>
          <w:tcPr>
            <w:tcW w:type="dxa" w:w="4997"/>
            <w:tcMar>
              <w:top w:w="90" w:type="dxa"/>
              <w:start w:w="100" w:type="dxa"/>
              <w:bottom w:w="90" w:type="dxa"/>
              <w:end w:w="100" w:type="dxa"/>
            </w:tcMar>
            <w:vAlign w:val="top"/>
          </w:tcPr>
          <w:p>
            <w:pPr>
              <w:spacing w:after="0" w:line="240" w:lineRule="auto"/>
            </w:pPr>
            <w:r>
              <w:rPr>
                <w:sz w:val="17"/>
              </w:rPr>
              <w:t>Treatment and control</w:t>
            </w:r>
          </w:p>
        </w:tc>
        <w:tc>
          <w:tcPr>
            <w:tcW w:type="dxa" w:w="4997"/>
            <w:tcMar>
              <w:top w:w="90" w:type="dxa"/>
              <w:start w:w="100" w:type="dxa"/>
              <w:bottom w:w="90" w:type="dxa"/>
              <w:end w:w="100" w:type="dxa"/>
            </w:tcMar>
            <w:vAlign w:val="top"/>
          </w:tcPr>
          <w:p>
            <w:pPr>
              <w:spacing w:after="0" w:line="240" w:lineRule="auto"/>
            </w:pPr>
            <w:r>
              <w:rPr>
                <w:sz w:val="17"/>
              </w:rPr>
              <w:t>Intervention, randomization unit, holdout, exposure logging, and contamination risks.</w:t>
            </w:r>
          </w:p>
        </w:tc>
      </w:tr>
      <w:tr>
        <w:tc>
          <w:tcPr>
            <w:tcW w:type="dxa" w:w="4997"/>
            <w:shd w:fill="F3F5F7"/>
            <w:tcMar>
              <w:top w:w="90" w:type="dxa"/>
              <w:start w:w="100" w:type="dxa"/>
              <w:bottom w:w="90" w:type="dxa"/>
              <w:end w:w="100" w:type="dxa"/>
            </w:tcMar>
            <w:vAlign w:val="top"/>
          </w:tcPr>
          <w:p>
            <w:pPr>
              <w:spacing w:after="0" w:line="240" w:lineRule="auto"/>
            </w:pPr>
            <w:r>
              <w:rPr>
                <w:sz w:val="17"/>
              </w:rPr>
              <w:t>Outcome and guardrails</w:t>
            </w:r>
          </w:p>
        </w:tc>
        <w:tc>
          <w:tcPr>
            <w:tcW w:type="dxa" w:w="4997"/>
            <w:shd w:fill="F3F5F7"/>
            <w:tcMar>
              <w:top w:w="90" w:type="dxa"/>
              <w:start w:w="100" w:type="dxa"/>
              <w:bottom w:w="90" w:type="dxa"/>
              <w:end w:w="100" w:type="dxa"/>
            </w:tcMar>
            <w:vAlign w:val="top"/>
          </w:tcPr>
          <w:p>
            <w:pPr>
              <w:spacing w:after="0" w:line="240" w:lineRule="auto"/>
            </w:pPr>
            <w:r>
              <w:rPr>
                <w:sz w:val="17"/>
              </w:rPr>
              <w:t>Primary incremental outcome plus margin, opt-out, complaint, and customer-experience safeguards.</w:t>
            </w:r>
          </w:p>
        </w:tc>
      </w:tr>
      <w:tr>
        <w:tc>
          <w:tcPr>
            <w:tcW w:type="dxa" w:w="4997"/>
            <w:tcMar>
              <w:top w:w="90" w:type="dxa"/>
              <w:start w:w="100" w:type="dxa"/>
              <w:bottom w:w="90" w:type="dxa"/>
              <w:end w:w="100" w:type="dxa"/>
            </w:tcMar>
            <w:vAlign w:val="top"/>
          </w:tcPr>
          <w:p>
            <w:pPr>
              <w:spacing w:after="0" w:line="240" w:lineRule="auto"/>
            </w:pPr>
            <w:r>
              <w:rPr>
                <w:sz w:val="17"/>
              </w:rPr>
              <w:t>Analysis and duration</w:t>
            </w:r>
          </w:p>
        </w:tc>
        <w:tc>
          <w:tcPr>
            <w:tcW w:type="dxa" w:w="4997"/>
            <w:tcMar>
              <w:top w:w="90" w:type="dxa"/>
              <w:start w:w="100" w:type="dxa"/>
              <w:bottom w:w="90" w:type="dxa"/>
              <w:end w:w="100" w:type="dxa"/>
            </w:tcMar>
            <w:vAlign w:val="top"/>
          </w:tcPr>
          <w:p>
            <w:pPr>
              <w:spacing w:after="0" w:line="240" w:lineRule="auto"/>
            </w:pPr>
            <w:r>
              <w:rPr>
                <w:sz w:val="17"/>
              </w:rPr>
              <w:t>Sample-size/power method, observation window, predeclared analysis, and stopping rule.</w:t>
            </w:r>
          </w:p>
        </w:tc>
      </w:tr>
      <w:tr>
        <w:tc>
          <w:tcPr>
            <w:tcW w:type="dxa" w:w="4997"/>
            <w:shd w:fill="F3F5F7"/>
            <w:tcMar>
              <w:top w:w="90" w:type="dxa"/>
              <w:start w:w="100" w:type="dxa"/>
              <w:bottom w:w="90" w:type="dxa"/>
              <w:end w:w="100" w:type="dxa"/>
            </w:tcMar>
            <w:vAlign w:val="top"/>
          </w:tcPr>
          <w:p>
            <w:pPr>
              <w:spacing w:after="0" w:line="240" w:lineRule="auto"/>
            </w:pPr>
            <w:r>
              <w:rPr>
                <w:sz w:val="17"/>
              </w:rPr>
              <w:t>Ownership</w:t>
            </w:r>
          </w:p>
        </w:tc>
        <w:tc>
          <w:tcPr>
            <w:tcW w:type="dxa" w:w="4997"/>
            <w:shd w:fill="F3F5F7"/>
            <w:tcMar>
              <w:top w:w="90" w:type="dxa"/>
              <w:start w:w="100" w:type="dxa"/>
              <w:bottom w:w="90" w:type="dxa"/>
              <w:end w:w="100" w:type="dxa"/>
            </w:tcMar>
            <w:vAlign w:val="top"/>
          </w:tcPr>
          <w:p>
            <w:pPr>
              <w:spacing w:after="0" w:line="240" w:lineRule="auto"/>
            </w:pPr>
            <w:r>
              <w:rPr>
                <w:sz w:val="17"/>
              </w:rPr>
              <w:t>Decision owner, execution owner, review date, and criteria to expand, revise, or stop.</w:t>
            </w:r>
          </w:p>
        </w:tc>
      </w:tr>
    </w:tbl>
    <w:p>
      <w:pPr>
        <w:spacing w:after="20"/>
      </w:pPr>
    </w:p>
    <w:p>
      <w:pPr>
        <w:pStyle w:val="Heading2"/>
        <w:keepNext/>
      </w:pPr>
      <w:r>
        <w:t>9.1 Candidate interventions to evaluate</w:t>
      </w:r>
    </w:p>
    <w:p>
      <w:pPr>
        <w:spacing w:after="120" w:line="259" w:lineRule="auto"/>
      </w:pPr>
      <w:r>
        <w:t>Potential test concepts—not recommendations based on observed customer results—include helpful onboarding, category-relevant product education, permissioned replenishment reminders, or a service follow-up. Avoid blanket discounts as the default: evaluate incremental contribution margin and customer experience against a holdout. Do not contact people without valid channel permission.</w:t>
      </w:r>
    </w:p>
    <w:tbl>
      <w:tblPr>
        <w:tblW w:type="auto" w:w="0"/>
        <w:jc w:val="center"/>
        <w:tblLook w:firstColumn="1" w:firstRow="1" w:lastColumn="0" w:lastRow="0" w:noHBand="0" w:noVBand="1" w:val="04A0"/>
      </w:tblPr>
      <w:tblGrid>
        <w:gridCol w:w="9994"/>
      </w:tblGrid>
      <w:tr>
        <w:tc>
          <w:tcPr>
            <w:tcW w:type="dxa" w:w="9994"/>
            <w:shd w:fill="E8F4F3"/>
            <w:tcMar>
              <w:top w:w="150" w:type="dxa"/>
              <w:start w:w="180" w:type="dxa"/>
              <w:bottom w:w="150" w:type="dxa"/>
              <w:end w:w="180" w:type="dxa"/>
            </w:tcMar>
          </w:tcPr>
          <w:p>
            <w:pPr>
              <w:spacing w:after="0"/>
            </w:pPr>
            <w:r>
              <w:rPr>
                <w:b/>
                <w:color w:val="138A8A"/>
              </w:rPr>
              <w:t xml:space="preserve">CAUSAL CLAIMS  </w:t>
            </w:r>
            <w:r>
              <w:t>A predictive score identifies a pattern; it does not show that contacting a scored customer will cause a purchase. Use a well-designed experiment to estimate intervention impact.</w:t>
            </w:r>
          </w:p>
        </w:tc>
      </w:tr>
    </w:tbl>
    <w:p>
      <w:pPr>
        <w:spacing w:after="0"/>
      </w:pPr>
    </w:p>
    <w:p>
      <w:pPr>
        <w:pStyle w:val="Heading1"/>
        <w:keepNext/>
      </w:pPr>
      <w:r>
        <w:t>10. Tools, timeline, and project governance</w:t>
      </w:r>
    </w:p>
    <w:p>
      <w:pPr>
        <w:spacing w:after="120" w:line="259" w:lineRule="auto"/>
      </w:pPr>
      <w:r>
        <w:t>The proposed toolchain is Python in VS Code (or Jupyter), pandas and NumPy for data preparation and measurement, Matplotlib and Seaborn for EDA, scikit-learn for conditional future predictive modeling, and python-docx for this report. The report generator itself reads no customer data. Official tool references are logged in [8]–[10].</w:t>
      </w:r>
    </w:p>
    <w:p>
      <w:pPr>
        <w:pStyle w:val="Caption"/>
        <w:keepNext/>
        <w:spacing w:before="60" w:after="60"/>
      </w:pPr>
      <w:r>
        <w:t>Table 20. Workstream / Hours / Planned output / gate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7324D"/>
            <w:tcMar>
              <w:top w:w="90" w:type="dxa"/>
              <w:start w:w="100" w:type="dxa"/>
              <w:bottom w:w="90" w:type="dxa"/>
              <w:end w:w="100" w:type="dxa"/>
            </w:tcMar>
            <w:vAlign w:val="center"/>
          </w:tcPr>
          <w:p>
            <w:pPr>
              <w:spacing w:after="0"/>
            </w:pPr>
            <w:r>
              <w:rPr>
                <w:b/>
                <w:color w:val="FFFFFF"/>
                <w:sz w:val="16"/>
              </w:rPr>
              <w:t>Workstream</w:t>
            </w:r>
          </w:p>
        </w:tc>
        <w:tc>
          <w:tcPr>
            <w:tcW w:type="dxa" w:w="3331"/>
            <w:shd w:fill="17324D"/>
            <w:tcMar>
              <w:top w:w="90" w:type="dxa"/>
              <w:start w:w="100" w:type="dxa"/>
              <w:bottom w:w="90" w:type="dxa"/>
              <w:end w:w="100" w:type="dxa"/>
            </w:tcMar>
            <w:vAlign w:val="center"/>
          </w:tcPr>
          <w:p>
            <w:pPr>
              <w:spacing w:after="0"/>
            </w:pPr>
            <w:r>
              <w:rPr>
                <w:b/>
                <w:color w:val="FFFFFF"/>
                <w:sz w:val="16"/>
              </w:rPr>
              <w:t>Hours</w:t>
            </w:r>
          </w:p>
        </w:tc>
        <w:tc>
          <w:tcPr>
            <w:tcW w:type="dxa" w:w="3331"/>
            <w:shd w:fill="17324D"/>
            <w:tcMar>
              <w:top w:w="90" w:type="dxa"/>
              <w:start w:w="100" w:type="dxa"/>
              <w:bottom w:w="90" w:type="dxa"/>
              <w:end w:w="100" w:type="dxa"/>
            </w:tcMar>
            <w:vAlign w:val="center"/>
          </w:tcPr>
          <w:p>
            <w:pPr>
              <w:spacing w:after="0"/>
            </w:pPr>
            <w:r>
              <w:rPr>
                <w:b/>
                <w:color w:val="FFFFFF"/>
                <w:sz w:val="16"/>
              </w:rPr>
              <w:t>Planned output / gate</w:t>
            </w:r>
          </w:p>
        </w:tc>
      </w:tr>
      <w:tr>
        <w:tc>
          <w:tcPr>
            <w:tcW w:type="dxa" w:w="3331"/>
            <w:tcMar>
              <w:top w:w="90" w:type="dxa"/>
              <w:start w:w="100" w:type="dxa"/>
              <w:bottom w:w="90" w:type="dxa"/>
              <w:end w:w="100" w:type="dxa"/>
            </w:tcMar>
            <w:vAlign w:val="top"/>
          </w:tcPr>
          <w:p>
            <w:pPr>
              <w:spacing w:after="0" w:line="240" w:lineRule="auto"/>
            </w:pPr>
            <w:r>
              <w:rPr>
                <w:sz w:val="16"/>
              </w:rPr>
              <w:t>Business framing and source review</w:t>
            </w:r>
          </w:p>
        </w:tc>
        <w:tc>
          <w:tcPr>
            <w:tcW w:type="dxa" w:w="3331"/>
            <w:tcMar>
              <w:top w:w="90" w:type="dxa"/>
              <w:start w:w="100" w:type="dxa"/>
              <w:bottom w:w="90" w:type="dxa"/>
              <w:end w:w="100" w:type="dxa"/>
            </w:tcMar>
            <w:vAlign w:val="top"/>
          </w:tcPr>
          <w:p>
            <w:pPr>
              <w:spacing w:after="0" w:line="240" w:lineRule="auto"/>
            </w:pPr>
            <w:r>
              <w:rPr>
                <w:sz w:val="16"/>
              </w:rPr>
              <w:t>4</w:t>
            </w:r>
          </w:p>
        </w:tc>
        <w:tc>
          <w:tcPr>
            <w:tcW w:type="dxa" w:w="3331"/>
            <w:tcMar>
              <w:top w:w="90" w:type="dxa"/>
              <w:start w:w="100" w:type="dxa"/>
              <w:bottom w:w="90" w:type="dxa"/>
              <w:end w:w="100" w:type="dxa"/>
            </w:tcMar>
            <w:vAlign w:val="top"/>
          </w:tcPr>
          <w:p>
            <w:pPr>
              <w:spacing w:after="0" w:line="240" w:lineRule="auto"/>
            </w:pPr>
            <w:r>
              <w:rPr>
                <w:sz w:val="16"/>
              </w:rPr>
              <w:t>Decision question, source log, scope.</w:t>
            </w:r>
          </w:p>
        </w:tc>
      </w:tr>
      <w:tr>
        <w:tc>
          <w:tcPr>
            <w:tcW w:type="dxa" w:w="3331"/>
            <w:shd w:fill="F3F5F7"/>
            <w:tcMar>
              <w:top w:w="90" w:type="dxa"/>
              <w:start w:w="100" w:type="dxa"/>
              <w:bottom w:w="90" w:type="dxa"/>
              <w:end w:w="100" w:type="dxa"/>
            </w:tcMar>
            <w:vAlign w:val="top"/>
          </w:tcPr>
          <w:p>
            <w:pPr>
              <w:spacing w:after="0" w:line="240" w:lineRule="auto"/>
            </w:pPr>
            <w:r>
              <w:rPr>
                <w:sz w:val="16"/>
              </w:rPr>
              <w:t>Governance and data inventory</w:t>
            </w:r>
          </w:p>
        </w:tc>
        <w:tc>
          <w:tcPr>
            <w:tcW w:type="dxa" w:w="3331"/>
            <w:shd w:fill="F3F5F7"/>
            <w:tcMar>
              <w:top w:w="90" w:type="dxa"/>
              <w:start w:w="100" w:type="dxa"/>
              <w:bottom w:w="90" w:type="dxa"/>
              <w:end w:w="100" w:type="dxa"/>
            </w:tcMar>
            <w:vAlign w:val="top"/>
          </w:tcPr>
          <w:p>
            <w:pPr>
              <w:spacing w:after="0" w:line="240" w:lineRule="auto"/>
            </w:pPr>
            <w:r>
              <w:rPr>
                <w:sz w:val="16"/>
              </w:rPr>
              <w:t>4</w:t>
            </w:r>
          </w:p>
        </w:tc>
        <w:tc>
          <w:tcPr>
            <w:tcW w:type="dxa" w:w="3331"/>
            <w:shd w:fill="F3F5F7"/>
            <w:tcMar>
              <w:top w:w="90" w:type="dxa"/>
              <w:start w:w="100" w:type="dxa"/>
              <w:bottom w:w="90" w:type="dxa"/>
              <w:end w:w="100" w:type="dxa"/>
            </w:tcMar>
            <w:vAlign w:val="top"/>
          </w:tcPr>
          <w:p>
            <w:pPr>
              <w:spacing w:after="0" w:line="240" w:lineRule="auto"/>
            </w:pPr>
            <w:r>
              <w:rPr>
                <w:sz w:val="16"/>
              </w:rPr>
              <w:t>Approved field list, access and readiness checklist.</w:t>
            </w:r>
          </w:p>
        </w:tc>
      </w:tr>
      <w:tr>
        <w:tc>
          <w:tcPr>
            <w:tcW w:type="dxa" w:w="3331"/>
            <w:tcMar>
              <w:top w:w="90" w:type="dxa"/>
              <w:start w:w="100" w:type="dxa"/>
              <w:bottom w:w="90" w:type="dxa"/>
              <w:end w:w="100" w:type="dxa"/>
            </w:tcMar>
            <w:vAlign w:val="top"/>
          </w:tcPr>
          <w:p>
            <w:pPr>
              <w:spacing w:after="0" w:line="240" w:lineRule="auto"/>
            </w:pPr>
            <w:r>
              <w:rPr>
                <w:sz w:val="16"/>
              </w:rPr>
              <w:t>Data extraction and quality checks</w:t>
            </w:r>
          </w:p>
        </w:tc>
        <w:tc>
          <w:tcPr>
            <w:tcW w:type="dxa" w:w="3331"/>
            <w:tcMar>
              <w:top w:w="90" w:type="dxa"/>
              <w:start w:w="100" w:type="dxa"/>
              <w:bottom w:w="90" w:type="dxa"/>
              <w:end w:w="100" w:type="dxa"/>
            </w:tcMar>
            <w:vAlign w:val="top"/>
          </w:tcPr>
          <w:p>
            <w:pPr>
              <w:spacing w:after="0" w:line="240" w:lineRule="auto"/>
            </w:pPr>
            <w:r>
              <w:rPr>
                <w:sz w:val="16"/>
              </w:rPr>
              <w:t>6</w:t>
            </w:r>
          </w:p>
        </w:tc>
        <w:tc>
          <w:tcPr>
            <w:tcW w:type="dxa" w:w="3331"/>
            <w:tcMar>
              <w:top w:w="90" w:type="dxa"/>
              <w:start w:w="100" w:type="dxa"/>
              <w:bottom w:w="90" w:type="dxa"/>
              <w:end w:w="100" w:type="dxa"/>
            </w:tcMar>
            <w:vAlign w:val="top"/>
          </w:tcPr>
          <w:p>
            <w:pPr>
              <w:spacing w:after="0" w:line="240" w:lineRule="auto"/>
            </w:pPr>
            <w:r>
              <w:rPr>
                <w:sz w:val="16"/>
              </w:rPr>
              <w:t>Reconciled, documented analytical table.</w:t>
            </w:r>
          </w:p>
        </w:tc>
      </w:tr>
      <w:tr>
        <w:tc>
          <w:tcPr>
            <w:tcW w:type="dxa" w:w="3331"/>
            <w:shd w:fill="F3F5F7"/>
            <w:tcMar>
              <w:top w:w="90" w:type="dxa"/>
              <w:start w:w="100" w:type="dxa"/>
              <w:bottom w:w="90" w:type="dxa"/>
              <w:end w:w="100" w:type="dxa"/>
            </w:tcMar>
            <w:vAlign w:val="top"/>
          </w:tcPr>
          <w:p>
            <w:pPr>
              <w:spacing w:after="0" w:line="240" w:lineRule="auto"/>
            </w:pPr>
            <w:r>
              <w:rPr>
                <w:sz w:val="16"/>
              </w:rPr>
              <w:t>EDA and cohort definitions</w:t>
            </w:r>
          </w:p>
        </w:tc>
        <w:tc>
          <w:tcPr>
            <w:tcW w:type="dxa" w:w="3331"/>
            <w:shd w:fill="F3F5F7"/>
            <w:tcMar>
              <w:top w:w="90" w:type="dxa"/>
              <w:start w:w="100" w:type="dxa"/>
              <w:bottom w:w="90" w:type="dxa"/>
              <w:end w:w="100" w:type="dxa"/>
            </w:tcMar>
            <w:vAlign w:val="top"/>
          </w:tcPr>
          <w:p>
            <w:pPr>
              <w:spacing w:after="0" w:line="240" w:lineRule="auto"/>
            </w:pPr>
            <w:r>
              <w:rPr>
                <w:sz w:val="16"/>
              </w:rPr>
              <w:t>7</w:t>
            </w:r>
          </w:p>
        </w:tc>
        <w:tc>
          <w:tcPr>
            <w:tcW w:type="dxa" w:w="3331"/>
            <w:shd w:fill="F3F5F7"/>
            <w:tcMar>
              <w:top w:w="90" w:type="dxa"/>
              <w:start w:w="100" w:type="dxa"/>
              <w:bottom w:w="90" w:type="dxa"/>
              <w:end w:w="100" w:type="dxa"/>
            </w:tcMar>
            <w:vAlign w:val="top"/>
          </w:tcPr>
          <w:p>
            <w:pPr>
              <w:spacing w:after="0" w:line="240" w:lineRule="auto"/>
            </w:pPr>
            <w:r>
              <w:rPr>
                <w:sz w:val="16"/>
              </w:rPr>
              <w:t>Summary tables, charts, cohort measures.</w:t>
            </w:r>
          </w:p>
        </w:tc>
      </w:tr>
      <w:tr>
        <w:tc>
          <w:tcPr>
            <w:tcW w:type="dxa" w:w="3331"/>
            <w:tcMar>
              <w:top w:w="90" w:type="dxa"/>
              <w:start w:w="100" w:type="dxa"/>
              <w:bottom w:w="90" w:type="dxa"/>
              <w:end w:w="100" w:type="dxa"/>
            </w:tcMar>
            <w:vAlign w:val="top"/>
          </w:tcPr>
          <w:p>
            <w:pPr>
              <w:spacing w:after="0" w:line="240" w:lineRule="auto"/>
            </w:pPr>
            <w:r>
              <w:rPr>
                <w:sz w:val="16"/>
              </w:rPr>
              <w:t>Optional exploratory modeling</w:t>
            </w:r>
          </w:p>
        </w:tc>
        <w:tc>
          <w:tcPr>
            <w:tcW w:type="dxa" w:w="3331"/>
            <w:tcMar>
              <w:top w:w="90" w:type="dxa"/>
              <w:start w:w="100" w:type="dxa"/>
              <w:bottom w:w="90" w:type="dxa"/>
              <w:end w:w="100" w:type="dxa"/>
            </w:tcMar>
            <w:vAlign w:val="top"/>
          </w:tcPr>
          <w:p>
            <w:pPr>
              <w:spacing w:after="0" w:line="240" w:lineRule="auto"/>
            </w:pPr>
            <w:r>
              <w:rPr>
                <w:sz w:val="16"/>
              </w:rPr>
              <w:t>5</w:t>
            </w:r>
          </w:p>
        </w:tc>
        <w:tc>
          <w:tcPr>
            <w:tcW w:type="dxa" w:w="3331"/>
            <w:tcMar>
              <w:top w:w="90" w:type="dxa"/>
              <w:start w:w="100" w:type="dxa"/>
              <w:bottom w:w="90" w:type="dxa"/>
              <w:end w:w="100" w:type="dxa"/>
            </w:tcMar>
            <w:vAlign w:val="top"/>
          </w:tcPr>
          <w:p>
            <w:pPr>
              <w:spacing w:after="0" w:line="240" w:lineRule="auto"/>
            </w:pPr>
            <w:r>
              <w:rPr>
                <w:sz w:val="16"/>
              </w:rPr>
              <w:t>Baseline, chronological split, metrics only if gate passes.</w:t>
            </w:r>
          </w:p>
        </w:tc>
      </w:tr>
      <w:tr>
        <w:tc>
          <w:tcPr>
            <w:tcW w:type="dxa" w:w="3331"/>
            <w:shd w:fill="F3F5F7"/>
            <w:tcMar>
              <w:top w:w="90" w:type="dxa"/>
              <w:start w:w="100" w:type="dxa"/>
              <w:bottom w:w="90" w:type="dxa"/>
              <w:end w:w="100" w:type="dxa"/>
            </w:tcMar>
            <w:vAlign w:val="top"/>
          </w:tcPr>
          <w:p>
            <w:pPr>
              <w:spacing w:after="0" w:line="240" w:lineRule="auto"/>
            </w:pPr>
            <w:r>
              <w:rPr>
                <w:sz w:val="16"/>
              </w:rPr>
              <w:t>Interpretation and test design</w:t>
            </w:r>
          </w:p>
        </w:tc>
        <w:tc>
          <w:tcPr>
            <w:tcW w:type="dxa" w:w="3331"/>
            <w:shd w:fill="F3F5F7"/>
            <w:tcMar>
              <w:top w:w="90" w:type="dxa"/>
              <w:start w:w="100" w:type="dxa"/>
              <w:bottom w:w="90" w:type="dxa"/>
              <w:end w:w="100" w:type="dxa"/>
            </w:tcMar>
            <w:vAlign w:val="top"/>
          </w:tcPr>
          <w:p>
            <w:pPr>
              <w:spacing w:after="0" w:line="240" w:lineRule="auto"/>
            </w:pPr>
            <w:r>
              <w:rPr>
                <w:sz w:val="16"/>
              </w:rPr>
              <w:t>4</w:t>
            </w:r>
          </w:p>
        </w:tc>
        <w:tc>
          <w:tcPr>
            <w:tcW w:type="dxa" w:w="3331"/>
            <w:shd w:fill="F3F5F7"/>
            <w:tcMar>
              <w:top w:w="90" w:type="dxa"/>
              <w:start w:w="100" w:type="dxa"/>
              <w:bottom w:w="90" w:type="dxa"/>
              <w:end w:w="100" w:type="dxa"/>
            </w:tcMar>
            <w:vAlign w:val="top"/>
          </w:tcPr>
          <w:p>
            <w:pPr>
              <w:spacing w:after="0" w:line="240" w:lineRule="auto"/>
            </w:pPr>
            <w:r>
              <w:rPr>
                <w:sz w:val="16"/>
              </w:rPr>
              <w:t>Evidence-to-action experiment cards.</w:t>
            </w:r>
          </w:p>
        </w:tc>
      </w:tr>
      <w:tr>
        <w:tc>
          <w:tcPr>
            <w:tcW w:type="dxa" w:w="3331"/>
            <w:tcMar>
              <w:top w:w="90" w:type="dxa"/>
              <w:start w:w="100" w:type="dxa"/>
              <w:bottom w:w="90" w:type="dxa"/>
              <w:end w:w="100" w:type="dxa"/>
            </w:tcMar>
            <w:vAlign w:val="top"/>
          </w:tcPr>
          <w:p>
            <w:pPr>
              <w:spacing w:after="0" w:line="240" w:lineRule="auto"/>
            </w:pPr>
            <w:r>
              <w:rPr>
                <w:sz w:val="16"/>
              </w:rPr>
              <w:t>Report, QA, and presentation</w:t>
            </w:r>
          </w:p>
        </w:tc>
        <w:tc>
          <w:tcPr>
            <w:tcW w:type="dxa" w:w="3331"/>
            <w:tcMar>
              <w:top w:w="90" w:type="dxa"/>
              <w:start w:w="100" w:type="dxa"/>
              <w:bottom w:w="90" w:type="dxa"/>
              <w:end w:w="100" w:type="dxa"/>
            </w:tcMar>
            <w:vAlign w:val="top"/>
          </w:tcPr>
          <w:p>
            <w:pPr>
              <w:spacing w:after="0" w:line="240" w:lineRule="auto"/>
            </w:pPr>
            <w:r>
              <w:rPr>
                <w:sz w:val="16"/>
              </w:rPr>
              <w:t>4</w:t>
            </w:r>
          </w:p>
        </w:tc>
        <w:tc>
          <w:tcPr>
            <w:tcW w:type="dxa" w:w="3331"/>
            <w:tcMar>
              <w:top w:w="90" w:type="dxa"/>
              <w:start w:w="100" w:type="dxa"/>
              <w:bottom w:w="90" w:type="dxa"/>
              <w:end w:w="100" w:type="dxa"/>
            </w:tcMar>
            <w:vAlign w:val="top"/>
          </w:tcPr>
          <w:p>
            <w:pPr>
              <w:spacing w:after="0" w:line="240" w:lineRule="auto"/>
            </w:pPr>
            <w:r>
              <w:rPr>
                <w:sz w:val="16"/>
              </w:rPr>
              <w:t>Reviewed report and stakeholder handoff.</w:t>
            </w:r>
          </w:p>
        </w:tc>
      </w:tr>
      <w:tr>
        <w:tc>
          <w:tcPr>
            <w:tcW w:type="dxa" w:w="3331"/>
            <w:shd w:fill="F3F5F7"/>
            <w:tcMar>
              <w:top w:w="90" w:type="dxa"/>
              <w:start w:w="100" w:type="dxa"/>
              <w:bottom w:w="90" w:type="dxa"/>
              <w:end w:w="100" w:type="dxa"/>
            </w:tcMar>
            <w:vAlign w:val="top"/>
          </w:tcPr>
          <w:p>
            <w:pPr>
              <w:spacing w:after="0" w:line="240" w:lineRule="auto"/>
            </w:pPr>
            <w:r>
              <w:rPr>
                <w:sz w:val="16"/>
              </w:rPr>
              <w:t>TOTAL</w:t>
            </w:r>
          </w:p>
        </w:tc>
        <w:tc>
          <w:tcPr>
            <w:tcW w:type="dxa" w:w="3331"/>
            <w:shd w:fill="F3F5F7"/>
            <w:tcMar>
              <w:top w:w="90" w:type="dxa"/>
              <w:start w:w="100" w:type="dxa"/>
              <w:bottom w:w="90" w:type="dxa"/>
              <w:end w:w="100" w:type="dxa"/>
            </w:tcMar>
            <w:vAlign w:val="top"/>
          </w:tcPr>
          <w:p>
            <w:pPr>
              <w:spacing w:after="0" w:line="240" w:lineRule="auto"/>
            </w:pPr>
            <w:r>
              <w:rPr>
                <w:sz w:val="16"/>
              </w:rPr>
              <w:t>34</w:t>
            </w:r>
          </w:p>
        </w:tc>
        <w:tc>
          <w:tcPr>
            <w:tcW w:type="dxa" w:w="3331"/>
            <w:shd w:fill="F3F5F7"/>
            <w:tcMar>
              <w:top w:w="90" w:type="dxa"/>
              <w:start w:w="100" w:type="dxa"/>
              <w:bottom w:w="90" w:type="dxa"/>
              <w:end w:w="100" w:type="dxa"/>
            </w:tcMar>
            <w:vAlign w:val="top"/>
          </w:tcPr>
          <w:p>
            <w:pPr>
              <w:spacing w:after="0" w:line="240" w:lineRule="auto"/>
            </w:pPr>
            <w:r>
              <w:rPr>
                <w:sz w:val="16"/>
              </w:rPr>
              <w:t>Within 30–35-hour target.</w:t>
            </w:r>
          </w:p>
        </w:tc>
      </w:tr>
    </w:tbl>
    <w:p>
      <w:pPr>
        <w:spacing w:after="20"/>
      </w:pPr>
    </w:p>
    <w:p>
      <w:pPr>
        <w:spacing w:after="120" w:line="259" w:lineRule="auto"/>
      </w:pPr>
      <w:r>
        <w:t>The five-hour modeling allocation is conditional. If permissions, follow-up, sample size, or data quality are insufficient, redirect that time to data remediation, uncertainty analysis, or stakeholder validation. The project sponsor approves scope; the data owner approves definitions/access; a privacy or legal reviewer advises on applicable requirements; the analyst documents code, decisions, and limitations.</w:t>
      </w:r>
    </w:p>
    <w:p>
      <w:r>
        <w:br w:type="page"/>
      </w:r>
    </w:p>
    <w:p>
      <w:pPr>
        <w:pStyle w:val="Heading1"/>
        <w:keepNext/>
      </w:pPr>
      <w:r>
        <w:t>11. Expected deliverables and success criteria</w:t>
      </w:r>
    </w:p>
    <w:p>
      <w:pPr>
        <w:pStyle w:val="Caption"/>
        <w:keepNext/>
        <w:spacing w:before="60" w:after="60"/>
      </w:pPr>
      <w:r>
        <w:t>Table 21. Deliverable / Acceptance check</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vAlign w:val="center"/>
          </w:tcPr>
          <w:p>
            <w:pPr>
              <w:spacing w:after="0"/>
            </w:pPr>
            <w:r>
              <w:rPr>
                <w:b/>
                <w:color w:val="FFFFFF"/>
                <w:sz w:val="17"/>
              </w:rPr>
              <w:t>Deliverable</w:t>
            </w:r>
          </w:p>
        </w:tc>
        <w:tc>
          <w:tcPr>
            <w:tcW w:type="dxa" w:w="4997"/>
            <w:shd w:fill="17324D"/>
            <w:tcMar>
              <w:top w:w="90" w:type="dxa"/>
              <w:start w:w="100" w:type="dxa"/>
              <w:bottom w:w="90" w:type="dxa"/>
              <w:end w:w="100" w:type="dxa"/>
            </w:tcMar>
            <w:vAlign w:val="center"/>
          </w:tcPr>
          <w:p>
            <w:pPr>
              <w:spacing w:after="0"/>
            </w:pPr>
            <w:r>
              <w:rPr>
                <w:b/>
                <w:color w:val="FFFFFF"/>
                <w:sz w:val="17"/>
              </w:rPr>
              <w:t>Acceptance check</w:t>
            </w:r>
          </w:p>
        </w:tc>
      </w:tr>
      <w:tr>
        <w:tc>
          <w:tcPr>
            <w:tcW w:type="dxa" w:w="4997"/>
            <w:tcMar>
              <w:top w:w="90" w:type="dxa"/>
              <w:start w:w="100" w:type="dxa"/>
              <w:bottom w:w="90" w:type="dxa"/>
              <w:end w:w="100" w:type="dxa"/>
            </w:tcMar>
            <w:vAlign w:val="top"/>
          </w:tcPr>
          <w:p>
            <w:pPr>
              <w:spacing w:after="0" w:line="240" w:lineRule="auto"/>
            </w:pPr>
            <w:r>
              <w:rPr>
                <w:sz w:val="17"/>
              </w:rPr>
              <w:t>Approved analysis specification</w:t>
            </w:r>
          </w:p>
        </w:tc>
        <w:tc>
          <w:tcPr>
            <w:tcW w:type="dxa" w:w="4997"/>
            <w:tcMar>
              <w:top w:w="90" w:type="dxa"/>
              <w:start w:w="100" w:type="dxa"/>
              <w:bottom w:w="90" w:type="dxa"/>
              <w:end w:w="100" w:type="dxa"/>
            </w:tcMar>
            <w:vAlign w:val="top"/>
          </w:tcPr>
          <w:p>
            <w:pPr>
              <w:spacing w:after="0" w:line="240" w:lineRule="auto"/>
            </w:pPr>
            <w:r>
              <w:rPr>
                <w:sz w:val="17"/>
              </w:rPr>
              <w:t>Population, horizon, qualifying order, metric definitions, and exclusions documented.</w:t>
            </w:r>
          </w:p>
        </w:tc>
      </w:tr>
      <w:tr>
        <w:tc>
          <w:tcPr>
            <w:tcW w:type="dxa" w:w="4997"/>
            <w:shd w:fill="F3F5F7"/>
            <w:tcMar>
              <w:top w:w="90" w:type="dxa"/>
              <w:start w:w="100" w:type="dxa"/>
              <w:bottom w:w="90" w:type="dxa"/>
              <w:end w:w="100" w:type="dxa"/>
            </w:tcMar>
            <w:vAlign w:val="top"/>
          </w:tcPr>
          <w:p>
            <w:pPr>
              <w:spacing w:after="0" w:line="240" w:lineRule="auto"/>
            </w:pPr>
            <w:r>
              <w:rPr>
                <w:sz w:val="17"/>
              </w:rPr>
              <w:t>Validated analytical table and QA log</w:t>
            </w:r>
          </w:p>
        </w:tc>
        <w:tc>
          <w:tcPr>
            <w:tcW w:type="dxa" w:w="4997"/>
            <w:shd w:fill="F3F5F7"/>
            <w:tcMar>
              <w:top w:w="90" w:type="dxa"/>
              <w:start w:w="100" w:type="dxa"/>
              <w:bottom w:w="90" w:type="dxa"/>
              <w:end w:w="100" w:type="dxa"/>
            </w:tcMar>
            <w:vAlign w:val="top"/>
          </w:tcPr>
          <w:p>
            <w:pPr>
              <w:spacing w:after="0" w:line="240" w:lineRule="auto"/>
            </w:pPr>
            <w:r>
              <w:rPr>
                <w:sz w:val="17"/>
              </w:rPr>
              <w:t>Grain, joins, totals, exclusions, timezones, missingness, and currencies reviewed.</w:t>
            </w:r>
          </w:p>
        </w:tc>
      </w:tr>
      <w:tr>
        <w:tc>
          <w:tcPr>
            <w:tcW w:type="dxa" w:w="4997"/>
            <w:tcMar>
              <w:top w:w="90" w:type="dxa"/>
              <w:start w:w="100" w:type="dxa"/>
              <w:bottom w:w="90" w:type="dxa"/>
              <w:end w:w="100" w:type="dxa"/>
            </w:tcMar>
            <w:vAlign w:val="top"/>
          </w:tcPr>
          <w:p>
            <w:pPr>
              <w:spacing w:after="0" w:line="240" w:lineRule="auto"/>
            </w:pPr>
            <w:r>
              <w:rPr>
                <w:sz w:val="17"/>
              </w:rPr>
              <w:t>EDA and cohort outputs</w:t>
            </w:r>
          </w:p>
        </w:tc>
        <w:tc>
          <w:tcPr>
            <w:tcW w:type="dxa" w:w="4997"/>
            <w:tcMar>
              <w:top w:w="90" w:type="dxa"/>
              <w:start w:w="100" w:type="dxa"/>
              <w:bottom w:w="90" w:type="dxa"/>
              <w:end w:w="100" w:type="dxa"/>
            </w:tcMar>
            <w:vAlign w:val="top"/>
          </w:tcPr>
          <w:p>
            <w:pPr>
              <w:spacing w:after="0" w:line="240" w:lineRule="auto"/>
            </w:pPr>
            <w:r>
              <w:rPr>
                <w:sz w:val="17"/>
              </w:rPr>
              <w:t>Reproducible code, visible denominators, maturity/censoring notes, and restrained interpretation.</w:t>
            </w:r>
          </w:p>
        </w:tc>
      </w:tr>
      <w:tr>
        <w:tc>
          <w:tcPr>
            <w:tcW w:type="dxa" w:w="4997"/>
            <w:shd w:fill="F3F5F7"/>
            <w:tcMar>
              <w:top w:w="90" w:type="dxa"/>
              <w:start w:w="100" w:type="dxa"/>
              <w:bottom w:w="90" w:type="dxa"/>
              <w:end w:w="100" w:type="dxa"/>
            </w:tcMar>
            <w:vAlign w:val="top"/>
          </w:tcPr>
          <w:p>
            <w:pPr>
              <w:spacing w:after="0" w:line="240" w:lineRule="auto"/>
            </w:pPr>
            <w:r>
              <w:rPr>
                <w:sz w:val="17"/>
              </w:rPr>
              <w:t>Optional model assessment</w:t>
            </w:r>
          </w:p>
        </w:tc>
        <w:tc>
          <w:tcPr>
            <w:tcW w:type="dxa" w:w="4997"/>
            <w:shd w:fill="F3F5F7"/>
            <w:tcMar>
              <w:top w:w="90" w:type="dxa"/>
              <w:start w:w="100" w:type="dxa"/>
              <w:bottom w:w="90" w:type="dxa"/>
              <w:end w:w="100" w:type="dxa"/>
            </w:tcMar>
            <w:vAlign w:val="top"/>
          </w:tcPr>
          <w:p>
            <w:pPr>
              <w:spacing w:after="0" w:line="240" w:lineRule="auto"/>
            </w:pPr>
            <w:r>
              <w:rPr>
                <w:sz w:val="17"/>
              </w:rPr>
              <w:t>Readiness gate passed; temporal holdout, leakage check, baseline, calibration/ranking, and intended use documented.</w:t>
            </w:r>
          </w:p>
        </w:tc>
      </w:tr>
      <w:tr>
        <w:tc>
          <w:tcPr>
            <w:tcW w:type="dxa" w:w="4997"/>
            <w:tcMar>
              <w:top w:w="90" w:type="dxa"/>
              <w:start w:w="100" w:type="dxa"/>
              <w:bottom w:w="90" w:type="dxa"/>
              <w:end w:w="100" w:type="dxa"/>
            </w:tcMar>
            <w:vAlign w:val="top"/>
          </w:tcPr>
          <w:p>
            <w:pPr>
              <w:spacing w:after="0" w:line="240" w:lineRule="auto"/>
            </w:pPr>
            <w:r>
              <w:rPr>
                <w:sz w:val="17"/>
              </w:rPr>
              <w:t>Test-ready recommendation cards</w:t>
            </w:r>
          </w:p>
        </w:tc>
        <w:tc>
          <w:tcPr>
            <w:tcW w:type="dxa" w:w="4997"/>
            <w:tcMar>
              <w:top w:w="90" w:type="dxa"/>
              <w:start w:w="100" w:type="dxa"/>
              <w:bottom w:w="90" w:type="dxa"/>
              <w:end w:w="100" w:type="dxa"/>
            </w:tcMar>
            <w:vAlign w:val="top"/>
          </w:tcPr>
          <w:p>
            <w:pPr>
              <w:spacing w:after="0" w:line="240" w:lineRule="auto"/>
            </w:pPr>
            <w:r>
              <w:rPr>
                <w:sz w:val="17"/>
              </w:rPr>
              <w:t>Action, control, primary outcome, guardrails, owners, and stop/scale criteria specified.</w:t>
            </w:r>
          </w:p>
        </w:tc>
      </w:tr>
      <w:tr>
        <w:tc>
          <w:tcPr>
            <w:tcW w:type="dxa" w:w="4997"/>
            <w:shd w:fill="F3F5F7"/>
            <w:tcMar>
              <w:top w:w="90" w:type="dxa"/>
              <w:start w:w="100" w:type="dxa"/>
              <w:bottom w:w="90" w:type="dxa"/>
              <w:end w:w="100" w:type="dxa"/>
            </w:tcMar>
            <w:vAlign w:val="top"/>
          </w:tcPr>
          <w:p>
            <w:pPr>
              <w:spacing w:after="0" w:line="240" w:lineRule="auto"/>
            </w:pPr>
            <w:r>
              <w:rPr>
                <w:sz w:val="17"/>
              </w:rPr>
              <w:t>Stakeholder report and handoff</w:t>
            </w:r>
          </w:p>
        </w:tc>
        <w:tc>
          <w:tcPr>
            <w:tcW w:type="dxa" w:w="4997"/>
            <w:shd w:fill="F3F5F7"/>
            <w:tcMar>
              <w:top w:w="90" w:type="dxa"/>
              <w:start w:w="100" w:type="dxa"/>
              <w:bottom w:w="90" w:type="dxa"/>
              <w:end w:w="100" w:type="dxa"/>
            </w:tcMar>
            <w:vAlign w:val="top"/>
          </w:tcPr>
          <w:p>
            <w:pPr>
              <w:spacing w:after="0" w:line="240" w:lineRule="auto"/>
            </w:pPr>
            <w:r>
              <w:rPr>
                <w:sz w:val="17"/>
              </w:rPr>
              <w:t>Sources, assumptions, caveats, decisions, and next actions reviewed.</w:t>
            </w:r>
          </w:p>
        </w:tc>
      </w:tr>
    </w:tbl>
    <w:p>
      <w:pPr>
        <w:spacing w:after="20"/>
      </w:pPr>
    </w:p>
    <w:p>
      <w:pPr>
        <w:pStyle w:val="Heading2"/>
        <w:keepNext/>
      </w:pPr>
      <w:r>
        <w:t>11.1 Week 1 exit criteria</w:t>
      </w:r>
    </w:p>
    <w:p>
      <w:pPr>
        <w:pStyle w:val="ListBullet"/>
        <w:spacing w:after="60"/>
      </w:pPr>
      <w:r>
        <w:t>Sponsor agrees the decision question, population, horizon, and success criteria.</w:t>
      </w:r>
    </w:p>
    <w:p>
      <w:pPr>
        <w:pStyle w:val="ListBullet"/>
        <w:spacing w:after="60"/>
      </w:pPr>
      <w:r>
        <w:t>Data owner approves the source, minimum field set, and order/revenue definitions.</w:t>
      </w:r>
    </w:p>
    <w:p>
      <w:pPr>
        <w:pStyle w:val="ListBullet"/>
        <w:spacing w:after="60"/>
      </w:pPr>
      <w:r>
        <w:t>Privacy/access review is complete before any customer extract is used.</w:t>
      </w:r>
    </w:p>
    <w:p>
      <w:pPr>
        <w:pStyle w:val="ListBullet"/>
        <w:spacing w:after="60"/>
      </w:pPr>
      <w:r>
        <w:t>Follow-up completeness and cohort eligibility can be determined.</w:t>
      </w:r>
    </w:p>
    <w:p>
      <w:pPr>
        <w:pStyle w:val="ListBullet"/>
        <w:spacing w:after="60"/>
      </w:pPr>
      <w:r>
        <w:t>Next phase has an accountable owner and a stop/go decision for optional modeling.</w:t>
      </w:r>
    </w:p>
    <w:p>
      <w:pPr>
        <w:pStyle w:val="Heading1"/>
        <w:keepNext/>
      </w:pPr>
      <w:r>
        <w:t>12. Conclusion</w:t>
      </w:r>
    </w:p>
    <w:p>
      <w:pPr>
        <w:spacing w:after="120" w:line="259" w:lineRule="auto"/>
      </w:pPr>
      <w:r>
        <w:t>This Week 1 project establishes a defensible route from industry questions to customer-level evidence: approve the purpose and data, define purchase and repeat consistently, validate and reconcile the history, compare cohorts with fair follow-up, and test any proposed action against a holdout. Beauty and wellness market publications and academic customer-analytics research provide context and methodological grounding, not a substitute for the business's own validated evidence.</w:t>
      </w:r>
    </w:p>
    <w:p>
      <w:pPr>
        <w:spacing w:after="120" w:line="259" w:lineRule="auto"/>
      </w:pPr>
      <w:r>
        <w:t>At this stage, every customer-level question and hypothesis remains open. There are no observed customer findings, no model, and no proven retention intervention. The appropriate immediate next step is stakeholder approval of the decision question and governance gate, followed by a documented data inventory.</w:t>
      </w:r>
    </w:p>
    <w:p>
      <w:r>
        <w:br w:type="page"/>
      </w:r>
    </w:p>
    <w:p>
      <w:pPr>
        <w:pStyle w:val="Heading1"/>
        <w:keepNext/>
      </w:pPr>
      <w:r>
        <w:t>Appendix A. Detailed variable dictionary</w:t>
      </w:r>
    </w:p>
    <w:p>
      <w:pPr>
        <w:spacing w:after="120" w:line="259" w:lineRule="auto"/>
      </w:pPr>
      <w:r>
        <w:t>The accompanying CSV is the authoritative machine-readable dictionary. This appendix reproduces its definitions, examples, analytical roles, sources, inclusion status, quality checks, and privacy notes for review within the report. All fields are proposed; availability and permitted use have not been confirmed.</w:t>
      </w:r>
    </w:p>
    <w:p>
      <w:pPr>
        <w:pStyle w:val="Caption"/>
        <w:keepNext/>
        <w:spacing w:before="60" w:after="60"/>
      </w:pPr>
      <w:r>
        <w:t>Table 22. Variable / Definition / Type / example / Role / source / status / Quality / privacy</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trPr>
        <w:tc>
          <w:tcPr>
            <w:tcW w:type="dxa" w:w="1999"/>
            <w:shd w:fill="17324D"/>
            <w:tcMar>
              <w:top w:w="90" w:type="dxa"/>
              <w:start w:w="100" w:type="dxa"/>
              <w:bottom w:w="90" w:type="dxa"/>
              <w:end w:w="100" w:type="dxa"/>
            </w:tcMar>
            <w:vAlign w:val="center"/>
          </w:tcPr>
          <w:p>
            <w:pPr>
              <w:spacing w:after="0"/>
            </w:pPr>
            <w:r>
              <w:rPr>
                <w:b/>
                <w:color w:val="FFFFFF"/>
                <w:sz w:val="12"/>
              </w:rPr>
              <w:t>Variable</w:t>
            </w:r>
          </w:p>
        </w:tc>
        <w:tc>
          <w:tcPr>
            <w:tcW w:type="dxa" w:w="1999"/>
            <w:shd w:fill="17324D"/>
            <w:tcMar>
              <w:top w:w="90" w:type="dxa"/>
              <w:start w:w="100" w:type="dxa"/>
              <w:bottom w:w="90" w:type="dxa"/>
              <w:end w:w="100" w:type="dxa"/>
            </w:tcMar>
            <w:vAlign w:val="center"/>
          </w:tcPr>
          <w:p>
            <w:pPr>
              <w:spacing w:after="0"/>
            </w:pPr>
            <w:r>
              <w:rPr>
                <w:b/>
                <w:color w:val="FFFFFF"/>
                <w:sz w:val="12"/>
              </w:rPr>
              <w:t>Definition</w:t>
            </w:r>
          </w:p>
        </w:tc>
        <w:tc>
          <w:tcPr>
            <w:tcW w:type="dxa" w:w="1999"/>
            <w:shd w:fill="17324D"/>
            <w:tcMar>
              <w:top w:w="90" w:type="dxa"/>
              <w:start w:w="100" w:type="dxa"/>
              <w:bottom w:w="90" w:type="dxa"/>
              <w:end w:w="100" w:type="dxa"/>
            </w:tcMar>
            <w:vAlign w:val="center"/>
          </w:tcPr>
          <w:p>
            <w:pPr>
              <w:spacing w:after="0"/>
            </w:pPr>
            <w:r>
              <w:rPr>
                <w:b/>
                <w:color w:val="FFFFFF"/>
                <w:sz w:val="12"/>
              </w:rPr>
              <w:t>Type / example</w:t>
            </w:r>
          </w:p>
        </w:tc>
        <w:tc>
          <w:tcPr>
            <w:tcW w:type="dxa" w:w="1999"/>
            <w:shd w:fill="17324D"/>
            <w:tcMar>
              <w:top w:w="90" w:type="dxa"/>
              <w:start w:w="100" w:type="dxa"/>
              <w:bottom w:w="90" w:type="dxa"/>
              <w:end w:w="100" w:type="dxa"/>
            </w:tcMar>
            <w:vAlign w:val="center"/>
          </w:tcPr>
          <w:p>
            <w:pPr>
              <w:spacing w:after="0"/>
            </w:pPr>
            <w:r>
              <w:rPr>
                <w:b/>
                <w:color w:val="FFFFFF"/>
                <w:sz w:val="12"/>
              </w:rPr>
              <w:t>Role / source / status</w:t>
            </w:r>
          </w:p>
        </w:tc>
        <w:tc>
          <w:tcPr>
            <w:tcW w:type="dxa" w:w="1999"/>
            <w:shd w:fill="17324D"/>
            <w:tcMar>
              <w:top w:w="90" w:type="dxa"/>
              <w:start w:w="100" w:type="dxa"/>
              <w:bottom w:w="90" w:type="dxa"/>
              <w:end w:w="100" w:type="dxa"/>
            </w:tcMar>
            <w:vAlign w:val="center"/>
          </w:tcPr>
          <w:p>
            <w:pPr>
              <w:spacing w:after="0"/>
            </w:pPr>
            <w:r>
              <w:rPr>
                <w:b/>
                <w:color w:val="FFFFFF"/>
                <w:sz w:val="12"/>
              </w:rPr>
              <w:t>Quality / privacy</w:t>
            </w:r>
          </w:p>
        </w:tc>
      </w:tr>
      <w:tr>
        <w:tc>
          <w:tcPr>
            <w:tcW w:type="dxa" w:w="1999"/>
            <w:tcMar>
              <w:top w:w="90" w:type="dxa"/>
              <w:start w:w="100" w:type="dxa"/>
              <w:bottom w:w="90" w:type="dxa"/>
              <w:end w:w="100" w:type="dxa"/>
            </w:tcMar>
            <w:vAlign w:val="top"/>
          </w:tcPr>
          <w:p>
            <w:pPr>
              <w:spacing w:after="0" w:line="240" w:lineRule="auto"/>
            </w:pPr>
            <w:r>
              <w:rPr>
                <w:sz w:val="12"/>
              </w:rPr>
              <w:t>customer_id</w:t>
            </w:r>
          </w:p>
        </w:tc>
        <w:tc>
          <w:tcPr>
            <w:tcW w:type="dxa" w:w="1999"/>
            <w:tcMar>
              <w:top w:w="90" w:type="dxa"/>
              <w:start w:w="100" w:type="dxa"/>
              <w:bottom w:w="90" w:type="dxa"/>
              <w:end w:w="100" w:type="dxa"/>
            </w:tcMar>
            <w:vAlign w:val="top"/>
          </w:tcPr>
          <w:p>
            <w:pPr>
              <w:spacing w:after="0" w:line="240" w:lineRule="auto"/>
            </w:pPr>
            <w:r>
              <w:rPr>
                <w:sz w:val="12"/>
              </w:rPr>
              <w:t>Pseudonymous unique customer identifier</w:t>
            </w:r>
          </w:p>
        </w:tc>
        <w:tc>
          <w:tcPr>
            <w:tcW w:type="dxa" w:w="1999"/>
            <w:tcMar>
              <w:top w:w="90" w:type="dxa"/>
              <w:start w:w="100" w:type="dxa"/>
              <w:bottom w:w="90" w:type="dxa"/>
              <w:end w:w="100" w:type="dxa"/>
            </w:tcMar>
            <w:vAlign w:val="top"/>
          </w:tcPr>
          <w:p>
            <w:pPr>
              <w:spacing w:after="0" w:line="240" w:lineRule="auto"/>
            </w:pPr>
            <w:r>
              <w:rPr>
                <w:sz w:val="12"/>
              </w:rPr>
              <w:t>string e.g. C0001</w:t>
            </w:r>
          </w:p>
        </w:tc>
        <w:tc>
          <w:tcPr>
            <w:tcW w:type="dxa" w:w="1999"/>
            <w:tcMar>
              <w:top w:w="90" w:type="dxa"/>
              <w:start w:w="100" w:type="dxa"/>
              <w:bottom w:w="90" w:type="dxa"/>
              <w:end w:w="100" w:type="dxa"/>
            </w:tcMar>
            <w:vAlign w:val="top"/>
          </w:tcPr>
          <w:p>
            <w:pPr>
              <w:spacing w:after="0" w:line="240" w:lineRule="auto"/>
            </w:pPr>
            <w:r>
              <w:rPr>
                <w:sz w:val="12"/>
              </w:rPr>
              <w:t>Join key and analysis unit; source: Approved CRM or transaction source; Required if customer repeat analysis planned</w:t>
            </w:r>
          </w:p>
        </w:tc>
        <w:tc>
          <w:tcPr>
            <w:tcW w:type="dxa" w:w="1999"/>
            <w:tcMar>
              <w:top w:w="90" w:type="dxa"/>
              <w:start w:w="100" w:type="dxa"/>
              <w:bottom w:w="90" w:type="dxa"/>
              <w:end w:w="100" w:type="dxa"/>
            </w:tcMar>
            <w:vAlign w:val="top"/>
          </w:tcPr>
          <w:p>
            <w:pPr>
              <w:spacing w:after="0" w:line="240" w:lineRule="auto"/>
            </w:pPr>
            <w:r>
              <w:rPr>
                <w:sz w:val="12"/>
              </w:rPr>
              <w:t>Quality: Missingness uniqueness merge coverage no duplicate mapping Privacy: Direct identifiers excluded; pseudonymization and linkage approval required</w:t>
            </w:r>
          </w:p>
        </w:tc>
      </w:tr>
      <w:tr>
        <w:tc>
          <w:tcPr>
            <w:tcW w:type="dxa" w:w="1999"/>
            <w:shd w:fill="F3F5F7"/>
            <w:tcMar>
              <w:top w:w="90" w:type="dxa"/>
              <w:start w:w="100" w:type="dxa"/>
              <w:bottom w:w="90" w:type="dxa"/>
              <w:end w:w="100" w:type="dxa"/>
            </w:tcMar>
            <w:vAlign w:val="top"/>
          </w:tcPr>
          <w:p>
            <w:pPr>
              <w:spacing w:after="0" w:line="240" w:lineRule="auto"/>
            </w:pPr>
            <w:r>
              <w:rPr>
                <w:sz w:val="12"/>
              </w:rPr>
              <w:t>transaction_id</w:t>
            </w:r>
          </w:p>
        </w:tc>
        <w:tc>
          <w:tcPr>
            <w:tcW w:type="dxa" w:w="1999"/>
            <w:shd w:fill="F3F5F7"/>
            <w:tcMar>
              <w:top w:w="90" w:type="dxa"/>
              <w:start w:w="100" w:type="dxa"/>
              <w:bottom w:w="90" w:type="dxa"/>
              <w:end w:w="100" w:type="dxa"/>
            </w:tcMar>
            <w:vAlign w:val="top"/>
          </w:tcPr>
          <w:p>
            <w:pPr>
              <w:spacing w:after="0" w:line="240" w:lineRule="auto"/>
            </w:pPr>
            <w:r>
              <w:rPr>
                <w:sz w:val="12"/>
              </w:rPr>
              <w:t>Unique qualifying order identifier</w:t>
            </w:r>
          </w:p>
        </w:tc>
        <w:tc>
          <w:tcPr>
            <w:tcW w:type="dxa" w:w="1999"/>
            <w:shd w:fill="F3F5F7"/>
            <w:tcMar>
              <w:top w:w="90" w:type="dxa"/>
              <w:start w:w="100" w:type="dxa"/>
              <w:bottom w:w="90" w:type="dxa"/>
              <w:end w:w="100" w:type="dxa"/>
            </w:tcMar>
            <w:vAlign w:val="top"/>
          </w:tcPr>
          <w:p>
            <w:pPr>
              <w:spacing w:after="0" w:line="240" w:lineRule="auto"/>
            </w:pPr>
            <w:r>
              <w:rPr>
                <w:sz w:val="12"/>
              </w:rPr>
              <w:t>string e.g. O10001</w:t>
            </w:r>
          </w:p>
        </w:tc>
        <w:tc>
          <w:tcPr>
            <w:tcW w:type="dxa" w:w="1999"/>
            <w:shd w:fill="F3F5F7"/>
            <w:tcMar>
              <w:top w:w="90" w:type="dxa"/>
              <w:start w:w="100" w:type="dxa"/>
              <w:bottom w:w="90" w:type="dxa"/>
              <w:end w:w="100" w:type="dxa"/>
            </w:tcMar>
            <w:vAlign w:val="top"/>
          </w:tcPr>
          <w:p>
            <w:pPr>
              <w:spacing w:after="0" w:line="240" w:lineRule="auto"/>
            </w:pPr>
            <w:r>
              <w:rPr>
                <w:sz w:val="12"/>
              </w:rPr>
              <w:t>Order key and repeat event; source: Commerce POS or public transaction dataset; Required</w:t>
            </w:r>
          </w:p>
        </w:tc>
        <w:tc>
          <w:tcPr>
            <w:tcW w:type="dxa" w:w="1999"/>
            <w:shd w:fill="F3F5F7"/>
            <w:tcMar>
              <w:top w:w="90" w:type="dxa"/>
              <w:start w:w="100" w:type="dxa"/>
              <w:bottom w:w="90" w:type="dxa"/>
              <w:end w:w="100" w:type="dxa"/>
            </w:tcMar>
            <w:vAlign w:val="top"/>
          </w:tcPr>
          <w:p>
            <w:pPr>
              <w:spacing w:after="0" w:line="240" w:lineRule="auto"/>
            </w:pPr>
            <w:r>
              <w:rPr>
                <w:sz w:val="12"/>
              </w:rPr>
              <w:t>Quality: Uniqueness status cancellation duplicate checks Privacy: None beyond linkage risk; restrict access</w:t>
            </w:r>
          </w:p>
        </w:tc>
      </w:tr>
      <w:tr>
        <w:tc>
          <w:tcPr>
            <w:tcW w:type="dxa" w:w="1999"/>
            <w:tcMar>
              <w:top w:w="90" w:type="dxa"/>
              <w:start w:w="100" w:type="dxa"/>
              <w:bottom w:w="90" w:type="dxa"/>
              <w:end w:w="100" w:type="dxa"/>
            </w:tcMar>
            <w:vAlign w:val="top"/>
          </w:tcPr>
          <w:p>
            <w:pPr>
              <w:spacing w:after="0" w:line="240" w:lineRule="auto"/>
            </w:pPr>
            <w:r>
              <w:rPr>
                <w:sz w:val="12"/>
              </w:rPr>
              <w:t>transaction_date</w:t>
            </w:r>
          </w:p>
        </w:tc>
        <w:tc>
          <w:tcPr>
            <w:tcW w:type="dxa" w:w="1999"/>
            <w:tcMar>
              <w:top w:w="90" w:type="dxa"/>
              <w:start w:w="100" w:type="dxa"/>
              <w:bottom w:w="90" w:type="dxa"/>
              <w:end w:w="100" w:type="dxa"/>
            </w:tcMar>
            <w:vAlign w:val="top"/>
          </w:tcPr>
          <w:p>
            <w:pPr>
              <w:spacing w:after="0" w:line="240" w:lineRule="auto"/>
            </w:pPr>
            <w:r>
              <w:rPr>
                <w:sz w:val="12"/>
              </w:rPr>
              <w:t>Timestamp order event recorded</w:t>
            </w:r>
          </w:p>
        </w:tc>
        <w:tc>
          <w:tcPr>
            <w:tcW w:type="dxa" w:w="1999"/>
            <w:tcMar>
              <w:top w:w="90" w:type="dxa"/>
              <w:start w:w="100" w:type="dxa"/>
              <w:bottom w:w="90" w:type="dxa"/>
              <w:end w:w="100" w:type="dxa"/>
            </w:tcMar>
            <w:vAlign w:val="top"/>
          </w:tcPr>
          <w:p>
            <w:pPr>
              <w:spacing w:after="0" w:line="240" w:lineRule="auto"/>
            </w:pPr>
            <w:r>
              <w:rPr>
                <w:sz w:val="12"/>
              </w:rPr>
              <w:t>datetime e.g. 2025-03-01T12:30:00Z</w:t>
            </w:r>
          </w:p>
        </w:tc>
        <w:tc>
          <w:tcPr>
            <w:tcW w:type="dxa" w:w="1999"/>
            <w:tcMar>
              <w:top w:w="90" w:type="dxa"/>
              <w:start w:w="100" w:type="dxa"/>
              <w:bottom w:w="90" w:type="dxa"/>
              <w:end w:w="100" w:type="dxa"/>
            </w:tcMar>
            <w:vAlign w:val="top"/>
          </w:tcPr>
          <w:p>
            <w:pPr>
              <w:spacing w:after="0" w:line="240" w:lineRule="auto"/>
            </w:pPr>
            <w:r>
              <w:rPr>
                <w:sz w:val="12"/>
              </w:rPr>
              <w:t>Time index and cohort anchor; source: Transaction system; Required</w:t>
            </w:r>
          </w:p>
        </w:tc>
        <w:tc>
          <w:tcPr>
            <w:tcW w:type="dxa" w:w="1999"/>
            <w:tcMar>
              <w:top w:w="90" w:type="dxa"/>
              <w:start w:w="100" w:type="dxa"/>
              <w:bottom w:w="90" w:type="dxa"/>
              <w:end w:w="100" w:type="dxa"/>
            </w:tcMar>
            <w:vAlign w:val="top"/>
          </w:tcPr>
          <w:p>
            <w:pPr>
              <w:spacing w:after="0" w:line="240" w:lineRule="auto"/>
            </w:pPr>
            <w:r>
              <w:rPr>
                <w:sz w:val="12"/>
              </w:rPr>
              <w:t>Quality: Timezone valid range event semantics missing dates Privacy: May become identifying when linked; minimize retention</w:t>
            </w:r>
          </w:p>
        </w:tc>
      </w:tr>
      <w:tr>
        <w:tc>
          <w:tcPr>
            <w:tcW w:type="dxa" w:w="1999"/>
            <w:shd w:fill="F3F5F7"/>
            <w:tcMar>
              <w:top w:w="90" w:type="dxa"/>
              <w:start w:w="100" w:type="dxa"/>
              <w:bottom w:w="90" w:type="dxa"/>
              <w:end w:w="100" w:type="dxa"/>
            </w:tcMar>
            <w:vAlign w:val="top"/>
          </w:tcPr>
          <w:p>
            <w:pPr>
              <w:spacing w:after="0" w:line="240" w:lineRule="auto"/>
            </w:pPr>
            <w:r>
              <w:rPr>
                <w:sz w:val="12"/>
              </w:rPr>
              <w:t>product_id</w:t>
            </w:r>
          </w:p>
        </w:tc>
        <w:tc>
          <w:tcPr>
            <w:tcW w:type="dxa" w:w="1999"/>
            <w:shd w:fill="F3F5F7"/>
            <w:tcMar>
              <w:top w:w="90" w:type="dxa"/>
              <w:start w:w="100" w:type="dxa"/>
              <w:bottom w:w="90" w:type="dxa"/>
              <w:end w:w="100" w:type="dxa"/>
            </w:tcMar>
            <w:vAlign w:val="top"/>
          </w:tcPr>
          <w:p>
            <w:pPr>
              <w:spacing w:after="0" w:line="240" w:lineRule="auto"/>
            </w:pPr>
            <w:r>
              <w:rPr>
                <w:sz w:val="12"/>
              </w:rPr>
              <w:t>SKU or product identifier</w:t>
            </w:r>
          </w:p>
        </w:tc>
        <w:tc>
          <w:tcPr>
            <w:tcW w:type="dxa" w:w="1999"/>
            <w:shd w:fill="F3F5F7"/>
            <w:tcMar>
              <w:top w:w="90" w:type="dxa"/>
              <w:start w:w="100" w:type="dxa"/>
              <w:bottom w:w="90" w:type="dxa"/>
              <w:end w:w="100" w:type="dxa"/>
            </w:tcMar>
            <w:vAlign w:val="top"/>
          </w:tcPr>
          <w:p>
            <w:pPr>
              <w:spacing w:after="0" w:line="240" w:lineRule="auto"/>
            </w:pPr>
            <w:r>
              <w:rPr>
                <w:sz w:val="12"/>
              </w:rPr>
              <w:t>string e.g. SKU42</w:t>
            </w:r>
          </w:p>
        </w:tc>
        <w:tc>
          <w:tcPr>
            <w:tcW w:type="dxa" w:w="1999"/>
            <w:shd w:fill="F3F5F7"/>
            <w:tcMar>
              <w:top w:w="90" w:type="dxa"/>
              <w:start w:w="100" w:type="dxa"/>
              <w:bottom w:w="90" w:type="dxa"/>
              <w:end w:w="100" w:type="dxa"/>
            </w:tcMar>
            <w:vAlign w:val="top"/>
          </w:tcPr>
          <w:p>
            <w:pPr>
              <w:spacing w:after="0" w:line="240" w:lineRule="auto"/>
            </w:pPr>
            <w:r>
              <w:rPr>
                <w:sz w:val="12"/>
              </w:rPr>
              <w:t>Product-level grouping; source: Product master and transaction lines; Optional for category only; required for SKU analyses</w:t>
            </w:r>
          </w:p>
        </w:tc>
        <w:tc>
          <w:tcPr>
            <w:tcW w:type="dxa" w:w="1999"/>
            <w:shd w:fill="F3F5F7"/>
            <w:tcMar>
              <w:top w:w="90" w:type="dxa"/>
              <w:start w:w="100" w:type="dxa"/>
              <w:bottom w:w="90" w:type="dxa"/>
              <w:end w:w="100" w:type="dxa"/>
            </w:tcMar>
            <w:vAlign w:val="top"/>
          </w:tcPr>
          <w:p>
            <w:pPr>
              <w:spacing w:after="0" w:line="240" w:lineRule="auto"/>
            </w:pPr>
            <w:r>
              <w:rPr>
                <w:sz w:val="12"/>
              </w:rPr>
              <w:t>Quality: Valid SKU map effective dates mapping coverage Privacy: Commercially sensitive</w:t>
            </w:r>
          </w:p>
        </w:tc>
      </w:tr>
      <w:tr>
        <w:tc>
          <w:tcPr>
            <w:tcW w:type="dxa" w:w="1999"/>
            <w:tcMar>
              <w:top w:w="90" w:type="dxa"/>
              <w:start w:w="100" w:type="dxa"/>
              <w:bottom w:w="90" w:type="dxa"/>
              <w:end w:w="100" w:type="dxa"/>
            </w:tcMar>
            <w:vAlign w:val="top"/>
          </w:tcPr>
          <w:p>
            <w:pPr>
              <w:spacing w:after="0" w:line="240" w:lineRule="auto"/>
            </w:pPr>
            <w:r>
              <w:rPr>
                <w:sz w:val="12"/>
              </w:rPr>
              <w:t>product_category</w:t>
            </w:r>
          </w:p>
        </w:tc>
        <w:tc>
          <w:tcPr>
            <w:tcW w:type="dxa" w:w="1999"/>
            <w:tcMar>
              <w:top w:w="90" w:type="dxa"/>
              <w:start w:w="100" w:type="dxa"/>
              <w:bottom w:w="90" w:type="dxa"/>
              <w:end w:w="100" w:type="dxa"/>
            </w:tcMar>
            <w:vAlign w:val="top"/>
          </w:tcPr>
          <w:p>
            <w:pPr>
              <w:spacing w:after="0" w:line="240" w:lineRule="auto"/>
            </w:pPr>
            <w:r>
              <w:rPr>
                <w:sz w:val="12"/>
              </w:rPr>
              <w:t>Versioned product family</w:t>
            </w:r>
          </w:p>
        </w:tc>
        <w:tc>
          <w:tcPr>
            <w:tcW w:type="dxa" w:w="1999"/>
            <w:tcMar>
              <w:top w:w="90" w:type="dxa"/>
              <w:start w:w="100" w:type="dxa"/>
              <w:bottom w:w="90" w:type="dxa"/>
              <w:end w:w="100" w:type="dxa"/>
            </w:tcMar>
            <w:vAlign w:val="top"/>
          </w:tcPr>
          <w:p>
            <w:pPr>
              <w:spacing w:after="0" w:line="240" w:lineRule="auto"/>
            </w:pPr>
            <w:r>
              <w:rPr>
                <w:sz w:val="12"/>
              </w:rPr>
              <w:t>string e.g. skincare</w:t>
            </w:r>
          </w:p>
        </w:tc>
        <w:tc>
          <w:tcPr>
            <w:tcW w:type="dxa" w:w="1999"/>
            <w:tcMar>
              <w:top w:w="90" w:type="dxa"/>
              <w:start w:w="100" w:type="dxa"/>
              <w:bottom w:w="90" w:type="dxa"/>
              <w:end w:w="100" w:type="dxa"/>
            </w:tcMar>
            <w:vAlign w:val="top"/>
          </w:tcPr>
          <w:p>
            <w:pPr>
              <w:spacing w:after="0" w:line="240" w:lineRule="auto"/>
            </w:pPr>
            <w:r>
              <w:rPr>
                <w:sz w:val="12"/>
              </w:rPr>
              <w:t>Segment / predictor candidate; source: Product master; Required for category research</w:t>
            </w:r>
          </w:p>
        </w:tc>
        <w:tc>
          <w:tcPr>
            <w:tcW w:type="dxa" w:w="1999"/>
            <w:tcMar>
              <w:top w:w="90" w:type="dxa"/>
              <w:start w:w="100" w:type="dxa"/>
              <w:bottom w:w="90" w:type="dxa"/>
              <w:end w:w="100" w:type="dxa"/>
            </w:tcMar>
            <w:vAlign w:val="top"/>
          </w:tcPr>
          <w:p>
            <w:pPr>
              <w:spacing w:after="0" w:line="240" w:lineRule="auto"/>
            </w:pPr>
            <w:r>
              <w:rPr>
                <w:sz w:val="12"/>
              </w:rPr>
              <w:t>Quality: Missing category category drift unknown category mapping Privacy: Usually low; avoid granular rare-cell reporting</w:t>
            </w:r>
          </w:p>
        </w:tc>
      </w:tr>
      <w:tr>
        <w:tc>
          <w:tcPr>
            <w:tcW w:type="dxa" w:w="1999"/>
            <w:shd w:fill="F3F5F7"/>
            <w:tcMar>
              <w:top w:w="90" w:type="dxa"/>
              <w:start w:w="100" w:type="dxa"/>
              <w:bottom w:w="90" w:type="dxa"/>
              <w:end w:w="100" w:type="dxa"/>
            </w:tcMar>
            <w:vAlign w:val="top"/>
          </w:tcPr>
          <w:p>
            <w:pPr>
              <w:spacing w:after="0" w:line="240" w:lineRule="auto"/>
            </w:pPr>
            <w:r>
              <w:rPr>
                <w:sz w:val="12"/>
              </w:rPr>
              <w:t>product_price</w:t>
            </w:r>
          </w:p>
        </w:tc>
        <w:tc>
          <w:tcPr>
            <w:tcW w:type="dxa" w:w="1999"/>
            <w:shd w:fill="F3F5F7"/>
            <w:tcMar>
              <w:top w:w="90" w:type="dxa"/>
              <w:start w:w="100" w:type="dxa"/>
              <w:bottom w:w="90" w:type="dxa"/>
              <w:end w:w="100" w:type="dxa"/>
            </w:tcMar>
            <w:vAlign w:val="top"/>
          </w:tcPr>
          <w:p>
            <w:pPr>
              <w:spacing w:after="0" w:line="240" w:lineRule="auto"/>
            </w:pPr>
            <w:r>
              <w:rPr>
                <w:sz w:val="12"/>
              </w:rPr>
              <w:t>Unit price before approved adjustment</w:t>
            </w:r>
          </w:p>
        </w:tc>
        <w:tc>
          <w:tcPr>
            <w:tcW w:type="dxa" w:w="1999"/>
            <w:shd w:fill="F3F5F7"/>
            <w:tcMar>
              <w:top w:w="90" w:type="dxa"/>
              <w:start w:w="100" w:type="dxa"/>
              <w:bottom w:w="90" w:type="dxa"/>
              <w:end w:w="100" w:type="dxa"/>
            </w:tcMar>
            <w:vAlign w:val="top"/>
          </w:tcPr>
          <w:p>
            <w:pPr>
              <w:spacing w:after="0" w:line="240" w:lineRule="auto"/>
            </w:pPr>
            <w:r>
              <w:rPr>
                <w:sz w:val="12"/>
              </w:rPr>
              <w:t>currency e.g. 24.99</w:t>
            </w:r>
          </w:p>
        </w:tc>
        <w:tc>
          <w:tcPr>
            <w:tcW w:type="dxa" w:w="1999"/>
            <w:shd w:fill="F3F5F7"/>
            <w:tcMar>
              <w:top w:w="90" w:type="dxa"/>
              <w:start w:w="100" w:type="dxa"/>
              <w:bottom w:w="90" w:type="dxa"/>
              <w:end w:w="100" w:type="dxa"/>
            </w:tcMar>
            <w:vAlign w:val="top"/>
          </w:tcPr>
          <w:p>
            <w:pPr>
              <w:spacing w:after="0" w:line="240" w:lineRule="auto"/>
            </w:pPr>
            <w:r>
              <w:rPr>
                <w:sz w:val="12"/>
              </w:rPr>
              <w:t>Explanatory candidate; source: Order item line; Required for value analysis</w:t>
            </w:r>
          </w:p>
        </w:tc>
        <w:tc>
          <w:tcPr>
            <w:tcW w:type="dxa" w:w="1999"/>
            <w:shd w:fill="F3F5F7"/>
            <w:tcMar>
              <w:top w:w="90" w:type="dxa"/>
              <w:start w:w="100" w:type="dxa"/>
              <w:bottom w:w="90" w:type="dxa"/>
              <w:end w:w="100" w:type="dxa"/>
            </w:tcMar>
            <w:vAlign w:val="top"/>
          </w:tcPr>
          <w:p>
            <w:pPr>
              <w:spacing w:after="0" w:line="240" w:lineRule="auto"/>
            </w:pPr>
            <w:r>
              <w:rPr>
                <w:sz w:val="12"/>
              </w:rPr>
              <w:t>Quality: Nonnegative plausible range currency consistency Privacy: Purchase-derived; restrict linkage</w:t>
            </w:r>
          </w:p>
        </w:tc>
      </w:tr>
      <w:tr>
        <w:tc>
          <w:tcPr>
            <w:tcW w:type="dxa" w:w="1999"/>
            <w:tcMar>
              <w:top w:w="90" w:type="dxa"/>
              <w:start w:w="100" w:type="dxa"/>
              <w:bottom w:w="90" w:type="dxa"/>
              <w:end w:w="100" w:type="dxa"/>
            </w:tcMar>
            <w:vAlign w:val="top"/>
          </w:tcPr>
          <w:p>
            <w:pPr>
              <w:spacing w:after="0" w:line="240" w:lineRule="auto"/>
            </w:pPr>
            <w:r>
              <w:rPr>
                <w:sz w:val="12"/>
              </w:rPr>
              <w:t>quantity</w:t>
            </w:r>
          </w:p>
        </w:tc>
        <w:tc>
          <w:tcPr>
            <w:tcW w:type="dxa" w:w="1999"/>
            <w:tcMar>
              <w:top w:w="90" w:type="dxa"/>
              <w:start w:w="100" w:type="dxa"/>
              <w:bottom w:w="90" w:type="dxa"/>
              <w:end w:w="100" w:type="dxa"/>
            </w:tcMar>
            <w:vAlign w:val="top"/>
          </w:tcPr>
          <w:p>
            <w:pPr>
              <w:spacing w:after="0" w:line="240" w:lineRule="auto"/>
            </w:pPr>
            <w:r>
              <w:rPr>
                <w:sz w:val="12"/>
              </w:rPr>
              <w:t>Units in line</w:t>
            </w:r>
          </w:p>
        </w:tc>
        <w:tc>
          <w:tcPr>
            <w:tcW w:type="dxa" w:w="1999"/>
            <w:tcMar>
              <w:top w:w="90" w:type="dxa"/>
              <w:start w:w="100" w:type="dxa"/>
              <w:bottom w:w="90" w:type="dxa"/>
              <w:end w:w="100" w:type="dxa"/>
            </w:tcMar>
            <w:vAlign w:val="top"/>
          </w:tcPr>
          <w:p>
            <w:pPr>
              <w:spacing w:after="0" w:line="240" w:lineRule="auto"/>
            </w:pPr>
            <w:r>
              <w:rPr>
                <w:sz w:val="12"/>
              </w:rPr>
              <w:t>numeric e.g. 2</w:t>
            </w:r>
          </w:p>
        </w:tc>
        <w:tc>
          <w:tcPr>
            <w:tcW w:type="dxa" w:w="1999"/>
            <w:tcMar>
              <w:top w:w="90" w:type="dxa"/>
              <w:start w:w="100" w:type="dxa"/>
              <w:bottom w:w="90" w:type="dxa"/>
              <w:end w:w="100" w:type="dxa"/>
            </w:tcMar>
            <w:vAlign w:val="top"/>
          </w:tcPr>
          <w:p>
            <w:pPr>
              <w:spacing w:after="0" w:line="240" w:lineRule="auto"/>
            </w:pPr>
            <w:r>
              <w:rPr>
                <w:sz w:val="12"/>
              </w:rPr>
              <w:t>Volume and order value calculation; source: Order item line; Required</w:t>
            </w:r>
          </w:p>
        </w:tc>
        <w:tc>
          <w:tcPr>
            <w:tcW w:type="dxa" w:w="1999"/>
            <w:tcMar>
              <w:top w:w="90" w:type="dxa"/>
              <w:start w:w="100" w:type="dxa"/>
              <w:bottom w:w="90" w:type="dxa"/>
              <w:end w:w="100" w:type="dxa"/>
            </w:tcMar>
            <w:vAlign w:val="top"/>
          </w:tcPr>
          <w:p>
            <w:pPr>
              <w:spacing w:after="0" w:line="240" w:lineRule="auto"/>
            </w:pPr>
            <w:r>
              <w:rPr>
                <w:sz w:val="12"/>
              </w:rPr>
              <w:t>Quality: Zero negative return treatment integer/range checks Privacy: Purchase-derived; restrict linkage</w:t>
            </w:r>
          </w:p>
        </w:tc>
      </w:tr>
      <w:tr>
        <w:tc>
          <w:tcPr>
            <w:tcW w:type="dxa" w:w="1999"/>
            <w:shd w:fill="F3F5F7"/>
            <w:tcMar>
              <w:top w:w="90" w:type="dxa"/>
              <w:start w:w="100" w:type="dxa"/>
              <w:bottom w:w="90" w:type="dxa"/>
              <w:end w:w="100" w:type="dxa"/>
            </w:tcMar>
            <w:vAlign w:val="top"/>
          </w:tcPr>
          <w:p>
            <w:pPr>
              <w:spacing w:after="0" w:line="240" w:lineRule="auto"/>
            </w:pPr>
            <w:r>
              <w:rPr>
                <w:sz w:val="12"/>
              </w:rPr>
              <w:t>discount_amount</w:t>
            </w:r>
          </w:p>
        </w:tc>
        <w:tc>
          <w:tcPr>
            <w:tcW w:type="dxa" w:w="1999"/>
            <w:shd w:fill="F3F5F7"/>
            <w:tcMar>
              <w:top w:w="90" w:type="dxa"/>
              <w:start w:w="100" w:type="dxa"/>
              <w:bottom w:w="90" w:type="dxa"/>
              <w:end w:w="100" w:type="dxa"/>
            </w:tcMar>
            <w:vAlign w:val="top"/>
          </w:tcPr>
          <w:p>
            <w:pPr>
              <w:spacing w:after="0" w:line="240" w:lineRule="auto"/>
            </w:pPr>
            <w:r>
              <w:rPr>
                <w:sz w:val="12"/>
              </w:rPr>
              <w:t>Discount applied to order line</w:t>
            </w:r>
          </w:p>
        </w:tc>
        <w:tc>
          <w:tcPr>
            <w:tcW w:type="dxa" w:w="1999"/>
            <w:shd w:fill="F3F5F7"/>
            <w:tcMar>
              <w:top w:w="90" w:type="dxa"/>
              <w:start w:w="100" w:type="dxa"/>
              <w:bottom w:w="90" w:type="dxa"/>
              <w:end w:w="100" w:type="dxa"/>
            </w:tcMar>
            <w:vAlign w:val="top"/>
          </w:tcPr>
          <w:p>
            <w:pPr>
              <w:spacing w:after="0" w:line="240" w:lineRule="auto"/>
            </w:pPr>
            <w:r>
              <w:rPr>
                <w:sz w:val="12"/>
              </w:rPr>
              <w:t>currency e.g. 3.00</w:t>
            </w:r>
          </w:p>
        </w:tc>
        <w:tc>
          <w:tcPr>
            <w:tcW w:type="dxa" w:w="1999"/>
            <w:shd w:fill="F3F5F7"/>
            <w:tcMar>
              <w:top w:w="90" w:type="dxa"/>
              <w:start w:w="100" w:type="dxa"/>
              <w:bottom w:w="90" w:type="dxa"/>
              <w:end w:w="100" w:type="dxa"/>
            </w:tcMar>
            <w:vAlign w:val="top"/>
          </w:tcPr>
          <w:p>
            <w:pPr>
              <w:spacing w:after="0" w:line="240" w:lineRule="auto"/>
            </w:pPr>
            <w:r>
              <w:rPr>
                <w:sz w:val="12"/>
              </w:rPr>
              <w:t>Explanatory candidate; source: Transaction item line; Optional</w:t>
            </w:r>
          </w:p>
        </w:tc>
        <w:tc>
          <w:tcPr>
            <w:tcW w:type="dxa" w:w="1999"/>
            <w:shd w:fill="F3F5F7"/>
            <w:tcMar>
              <w:top w:w="90" w:type="dxa"/>
              <w:start w:w="100" w:type="dxa"/>
              <w:bottom w:w="90" w:type="dxa"/>
              <w:end w:w="100" w:type="dxa"/>
            </w:tcMar>
            <w:vAlign w:val="top"/>
          </w:tcPr>
          <w:p>
            <w:pPr>
              <w:spacing w:after="0" w:line="240" w:lineRule="auto"/>
            </w:pPr>
            <w:r>
              <w:rPr>
                <w:sz w:val="12"/>
              </w:rPr>
              <w:t>Quality: Nonnegative not above eligible gross amount promotion rules Privacy: Purchase-derived; restrict linkage</w:t>
            </w:r>
          </w:p>
        </w:tc>
      </w:tr>
      <w:tr>
        <w:tc>
          <w:tcPr>
            <w:tcW w:type="dxa" w:w="1999"/>
            <w:tcMar>
              <w:top w:w="90" w:type="dxa"/>
              <w:start w:w="100" w:type="dxa"/>
              <w:bottom w:w="90" w:type="dxa"/>
              <w:end w:w="100" w:type="dxa"/>
            </w:tcMar>
            <w:vAlign w:val="top"/>
          </w:tcPr>
          <w:p>
            <w:pPr>
              <w:spacing w:after="0" w:line="240" w:lineRule="auto"/>
            </w:pPr>
            <w:r>
              <w:rPr>
                <w:sz w:val="12"/>
              </w:rPr>
              <w:t>discount_rate</w:t>
            </w:r>
          </w:p>
        </w:tc>
        <w:tc>
          <w:tcPr>
            <w:tcW w:type="dxa" w:w="1999"/>
            <w:tcMar>
              <w:top w:w="90" w:type="dxa"/>
              <w:start w:w="100" w:type="dxa"/>
              <w:bottom w:w="90" w:type="dxa"/>
              <w:end w:w="100" w:type="dxa"/>
            </w:tcMar>
            <w:vAlign w:val="top"/>
          </w:tcPr>
          <w:p>
            <w:pPr>
              <w:spacing w:after="0" w:line="240" w:lineRule="auto"/>
            </w:pPr>
            <w:r>
              <w:rPr>
                <w:sz w:val="12"/>
              </w:rPr>
              <w:t>Discount fraction on defined gross amount</w:t>
            </w:r>
          </w:p>
        </w:tc>
        <w:tc>
          <w:tcPr>
            <w:tcW w:type="dxa" w:w="1999"/>
            <w:tcMar>
              <w:top w:w="90" w:type="dxa"/>
              <w:start w:w="100" w:type="dxa"/>
              <w:bottom w:w="90" w:type="dxa"/>
              <w:end w:w="100" w:type="dxa"/>
            </w:tcMar>
            <w:vAlign w:val="top"/>
          </w:tcPr>
          <w:p>
            <w:pPr>
              <w:spacing w:after="0" w:line="240" w:lineRule="auto"/>
            </w:pPr>
            <w:r>
              <w:rPr>
                <w:sz w:val="12"/>
              </w:rPr>
              <w:t>decimal e.g. 0.10</w:t>
            </w:r>
          </w:p>
        </w:tc>
        <w:tc>
          <w:tcPr>
            <w:tcW w:type="dxa" w:w="1999"/>
            <w:tcMar>
              <w:top w:w="90" w:type="dxa"/>
              <w:start w:w="100" w:type="dxa"/>
              <w:bottom w:w="90" w:type="dxa"/>
              <w:end w:w="100" w:type="dxa"/>
            </w:tcMar>
            <w:vAlign w:val="top"/>
          </w:tcPr>
          <w:p>
            <w:pPr>
              <w:spacing w:after="0" w:line="240" w:lineRule="auto"/>
            </w:pPr>
            <w:r>
              <w:rPr>
                <w:sz w:val="12"/>
              </w:rPr>
              <w:t>Derived explanatory candidate; source: Derived from price and discount; Optional</w:t>
            </w:r>
          </w:p>
        </w:tc>
        <w:tc>
          <w:tcPr>
            <w:tcW w:type="dxa" w:w="1999"/>
            <w:tcMar>
              <w:top w:w="90" w:type="dxa"/>
              <w:start w:w="100" w:type="dxa"/>
              <w:bottom w:w="90" w:type="dxa"/>
              <w:end w:w="100" w:type="dxa"/>
            </w:tcMar>
            <w:vAlign w:val="top"/>
          </w:tcPr>
          <w:p>
            <w:pPr>
              <w:spacing w:after="0" w:line="240" w:lineRule="auto"/>
            </w:pPr>
            <w:r>
              <w:rPr>
                <w:sz w:val="12"/>
              </w:rPr>
              <w:t>Quality: Bound [0,1] and denominator definition Privacy: Purchase-derived; restrict linkage</w:t>
            </w:r>
          </w:p>
        </w:tc>
      </w:tr>
      <w:tr>
        <w:tc>
          <w:tcPr>
            <w:tcW w:type="dxa" w:w="1999"/>
            <w:shd w:fill="F3F5F7"/>
            <w:tcMar>
              <w:top w:w="90" w:type="dxa"/>
              <w:start w:w="100" w:type="dxa"/>
              <w:bottom w:w="90" w:type="dxa"/>
              <w:end w:w="100" w:type="dxa"/>
            </w:tcMar>
            <w:vAlign w:val="top"/>
          </w:tcPr>
          <w:p>
            <w:pPr>
              <w:spacing w:after="0" w:line="240" w:lineRule="auto"/>
            </w:pPr>
            <w:r>
              <w:rPr>
                <w:sz w:val="12"/>
              </w:rPr>
              <w:t>order_value</w:t>
            </w:r>
          </w:p>
        </w:tc>
        <w:tc>
          <w:tcPr>
            <w:tcW w:type="dxa" w:w="1999"/>
            <w:shd w:fill="F3F5F7"/>
            <w:tcMar>
              <w:top w:w="90" w:type="dxa"/>
              <w:start w:w="100" w:type="dxa"/>
              <w:bottom w:w="90" w:type="dxa"/>
              <w:end w:w="100" w:type="dxa"/>
            </w:tcMar>
            <w:vAlign w:val="top"/>
          </w:tcPr>
          <w:p>
            <w:pPr>
              <w:spacing w:after="0" w:line="240" w:lineRule="auto"/>
            </w:pPr>
            <w:r>
              <w:rPr>
                <w:sz w:val="12"/>
              </w:rPr>
              <w:t>Net order sales after agreed treatment</w:t>
            </w:r>
          </w:p>
        </w:tc>
        <w:tc>
          <w:tcPr>
            <w:tcW w:type="dxa" w:w="1999"/>
            <w:shd w:fill="F3F5F7"/>
            <w:tcMar>
              <w:top w:w="90" w:type="dxa"/>
              <w:start w:w="100" w:type="dxa"/>
              <w:bottom w:w="90" w:type="dxa"/>
              <w:end w:w="100" w:type="dxa"/>
            </w:tcMar>
            <w:vAlign w:val="top"/>
          </w:tcPr>
          <w:p>
            <w:pPr>
              <w:spacing w:after="0" w:line="240" w:lineRule="auto"/>
            </w:pPr>
            <w:r>
              <w:rPr>
                <w:sz w:val="12"/>
              </w:rPr>
              <w:t>currency e.g. 45.00</w:t>
            </w:r>
          </w:p>
        </w:tc>
        <w:tc>
          <w:tcPr>
            <w:tcW w:type="dxa" w:w="1999"/>
            <w:shd w:fill="F3F5F7"/>
            <w:tcMar>
              <w:top w:w="90" w:type="dxa"/>
              <w:start w:w="100" w:type="dxa"/>
              <w:bottom w:w="90" w:type="dxa"/>
              <w:end w:w="100" w:type="dxa"/>
            </w:tcMar>
            <w:vAlign w:val="top"/>
          </w:tcPr>
          <w:p>
            <w:pPr>
              <w:spacing w:after="0" w:line="240" w:lineRule="auto"/>
            </w:pPr>
            <w:r>
              <w:rPr>
                <w:sz w:val="12"/>
              </w:rPr>
              <w:t>Outcome / value metric; source: Transaction system or derived; Required for value analysis</w:t>
            </w:r>
          </w:p>
        </w:tc>
        <w:tc>
          <w:tcPr>
            <w:tcW w:type="dxa" w:w="1999"/>
            <w:shd w:fill="F3F5F7"/>
            <w:tcMar>
              <w:top w:w="90" w:type="dxa"/>
              <w:start w:w="100" w:type="dxa"/>
              <w:bottom w:w="90" w:type="dxa"/>
              <w:end w:w="100" w:type="dxa"/>
            </w:tcMar>
            <w:vAlign w:val="top"/>
          </w:tcPr>
          <w:p>
            <w:pPr>
              <w:spacing w:after="0" w:line="240" w:lineRule="auto"/>
            </w:pPr>
            <w:r>
              <w:rPr>
                <w:sz w:val="12"/>
              </w:rPr>
              <w:t>Quality: Reconcile discounts returns tax shipping currency and finance totals Privacy: Purchase-derived; restrict linkage</w:t>
            </w:r>
          </w:p>
        </w:tc>
      </w:tr>
      <w:tr>
        <w:tc>
          <w:tcPr>
            <w:tcW w:type="dxa" w:w="1999"/>
            <w:tcMar>
              <w:top w:w="90" w:type="dxa"/>
              <w:start w:w="100" w:type="dxa"/>
              <w:bottom w:w="90" w:type="dxa"/>
              <w:end w:w="100" w:type="dxa"/>
            </w:tcMar>
            <w:vAlign w:val="top"/>
          </w:tcPr>
          <w:p>
            <w:pPr>
              <w:spacing w:after="0" w:line="240" w:lineRule="auto"/>
            </w:pPr>
            <w:r>
              <w:rPr>
                <w:sz w:val="12"/>
              </w:rPr>
              <w:t>purchase_channel</w:t>
            </w:r>
          </w:p>
        </w:tc>
        <w:tc>
          <w:tcPr>
            <w:tcW w:type="dxa" w:w="1999"/>
            <w:tcMar>
              <w:top w:w="90" w:type="dxa"/>
              <w:start w:w="100" w:type="dxa"/>
              <w:bottom w:w="90" w:type="dxa"/>
              <w:end w:w="100" w:type="dxa"/>
            </w:tcMar>
            <w:vAlign w:val="top"/>
          </w:tcPr>
          <w:p>
            <w:pPr>
              <w:spacing w:after="0" w:line="240" w:lineRule="auto"/>
            </w:pPr>
            <w:r>
              <w:rPr>
                <w:sz w:val="12"/>
              </w:rPr>
              <w:t>Channel at transaction time</w:t>
            </w:r>
          </w:p>
        </w:tc>
        <w:tc>
          <w:tcPr>
            <w:tcW w:type="dxa" w:w="1999"/>
            <w:tcMar>
              <w:top w:w="90" w:type="dxa"/>
              <w:start w:w="100" w:type="dxa"/>
              <w:bottom w:w="90" w:type="dxa"/>
              <w:end w:w="100" w:type="dxa"/>
            </w:tcMar>
            <w:vAlign w:val="top"/>
          </w:tcPr>
          <w:p>
            <w:pPr>
              <w:spacing w:after="0" w:line="240" w:lineRule="auto"/>
            </w:pPr>
            <w:r>
              <w:rPr>
                <w:sz w:val="12"/>
              </w:rPr>
              <w:t>category e.g. ecommerce</w:t>
            </w:r>
          </w:p>
        </w:tc>
        <w:tc>
          <w:tcPr>
            <w:tcW w:type="dxa" w:w="1999"/>
            <w:tcMar>
              <w:top w:w="90" w:type="dxa"/>
              <w:start w:w="100" w:type="dxa"/>
              <w:bottom w:w="90" w:type="dxa"/>
              <w:end w:w="100" w:type="dxa"/>
            </w:tcMar>
            <w:vAlign w:val="top"/>
          </w:tcPr>
          <w:p>
            <w:pPr>
              <w:spacing w:after="0" w:line="240" w:lineRule="auto"/>
            </w:pPr>
            <w:r>
              <w:rPr>
                <w:sz w:val="12"/>
              </w:rPr>
              <w:t>Stratification / predictor candidate; source: Commerce POS; Optional</w:t>
            </w:r>
          </w:p>
        </w:tc>
        <w:tc>
          <w:tcPr>
            <w:tcW w:type="dxa" w:w="1999"/>
            <w:tcMar>
              <w:top w:w="90" w:type="dxa"/>
              <w:start w:w="100" w:type="dxa"/>
              <w:bottom w:w="90" w:type="dxa"/>
              <w:end w:w="100" w:type="dxa"/>
            </w:tcMar>
            <w:vAlign w:val="top"/>
          </w:tcPr>
          <w:p>
            <w:pPr>
              <w:spacing w:after="0" w:line="240" w:lineRule="auto"/>
            </w:pPr>
            <w:r>
              <w:rPr>
                <w:sz w:val="12"/>
              </w:rPr>
              <w:t>Quality: Normalize channel names and changes Privacy: Purchase-derived</w:t>
            </w:r>
          </w:p>
        </w:tc>
      </w:tr>
      <w:tr>
        <w:tc>
          <w:tcPr>
            <w:tcW w:type="dxa" w:w="1999"/>
            <w:shd w:fill="F3F5F7"/>
            <w:tcMar>
              <w:top w:w="90" w:type="dxa"/>
              <w:start w:w="100" w:type="dxa"/>
              <w:bottom w:w="90" w:type="dxa"/>
              <w:end w:w="100" w:type="dxa"/>
            </w:tcMar>
            <w:vAlign w:val="top"/>
          </w:tcPr>
          <w:p>
            <w:pPr>
              <w:spacing w:after="0" w:line="240" w:lineRule="auto"/>
            </w:pPr>
            <w:r>
              <w:rPr>
                <w:sz w:val="12"/>
              </w:rPr>
              <w:t>acquisition_channel</w:t>
            </w:r>
          </w:p>
        </w:tc>
        <w:tc>
          <w:tcPr>
            <w:tcW w:type="dxa" w:w="1999"/>
            <w:shd w:fill="F3F5F7"/>
            <w:tcMar>
              <w:top w:w="90" w:type="dxa"/>
              <w:start w:w="100" w:type="dxa"/>
              <w:bottom w:w="90" w:type="dxa"/>
              <w:end w:w="100" w:type="dxa"/>
            </w:tcMar>
            <w:vAlign w:val="top"/>
          </w:tcPr>
          <w:p>
            <w:pPr>
              <w:spacing w:after="0" w:line="240" w:lineRule="auto"/>
            </w:pPr>
            <w:r>
              <w:rPr>
                <w:sz w:val="12"/>
              </w:rPr>
              <w:t>Approved source of customer acquisition</w:t>
            </w:r>
          </w:p>
        </w:tc>
        <w:tc>
          <w:tcPr>
            <w:tcW w:type="dxa" w:w="1999"/>
            <w:shd w:fill="F3F5F7"/>
            <w:tcMar>
              <w:top w:w="90" w:type="dxa"/>
              <w:start w:w="100" w:type="dxa"/>
              <w:bottom w:w="90" w:type="dxa"/>
              <w:end w:w="100" w:type="dxa"/>
            </w:tcMar>
            <w:vAlign w:val="top"/>
          </w:tcPr>
          <w:p>
            <w:pPr>
              <w:spacing w:after="0" w:line="240" w:lineRule="auto"/>
            </w:pPr>
            <w:r>
              <w:rPr>
                <w:sz w:val="12"/>
              </w:rPr>
              <w:t>category e.g. referral</w:t>
            </w:r>
          </w:p>
        </w:tc>
        <w:tc>
          <w:tcPr>
            <w:tcW w:type="dxa" w:w="1999"/>
            <w:shd w:fill="F3F5F7"/>
            <w:tcMar>
              <w:top w:w="90" w:type="dxa"/>
              <w:start w:w="100" w:type="dxa"/>
              <w:bottom w:w="90" w:type="dxa"/>
              <w:end w:w="100" w:type="dxa"/>
            </w:tcMar>
            <w:vAlign w:val="top"/>
          </w:tcPr>
          <w:p>
            <w:pPr>
              <w:spacing w:after="0" w:line="240" w:lineRule="auto"/>
            </w:pPr>
            <w:r>
              <w:rPr>
                <w:sz w:val="12"/>
              </w:rPr>
              <w:t>Stratification / predictor candidate; source: CRM analytics with attribution data; Optional</w:t>
            </w:r>
          </w:p>
        </w:tc>
        <w:tc>
          <w:tcPr>
            <w:tcW w:type="dxa" w:w="1999"/>
            <w:shd w:fill="F3F5F7"/>
            <w:tcMar>
              <w:top w:w="90" w:type="dxa"/>
              <w:start w:w="100" w:type="dxa"/>
              <w:bottom w:w="90" w:type="dxa"/>
              <w:end w:w="100" w:type="dxa"/>
            </w:tcMar>
            <w:vAlign w:val="top"/>
          </w:tcPr>
          <w:p>
            <w:pPr>
              <w:spacing w:after="0" w:line="240" w:lineRule="auto"/>
            </w:pPr>
            <w:r>
              <w:rPr>
                <w:sz w:val="12"/>
              </w:rPr>
              <w:t>Quality: Attribution coverage precedence changes and unknowns Privacy: May reveal behavioral profile; use coarse approved categories</w:t>
            </w:r>
          </w:p>
        </w:tc>
      </w:tr>
      <w:tr>
        <w:tc>
          <w:tcPr>
            <w:tcW w:type="dxa" w:w="1999"/>
            <w:tcMar>
              <w:top w:w="90" w:type="dxa"/>
              <w:start w:w="100" w:type="dxa"/>
              <w:bottom w:w="90" w:type="dxa"/>
              <w:end w:w="100" w:type="dxa"/>
            </w:tcMar>
            <w:vAlign w:val="top"/>
          </w:tcPr>
          <w:p>
            <w:pPr>
              <w:spacing w:after="0" w:line="240" w:lineRule="auto"/>
            </w:pPr>
            <w:r>
              <w:rPr>
                <w:sz w:val="12"/>
              </w:rPr>
              <w:t>customer_rating</w:t>
            </w:r>
          </w:p>
        </w:tc>
        <w:tc>
          <w:tcPr>
            <w:tcW w:type="dxa" w:w="1999"/>
            <w:tcMar>
              <w:top w:w="90" w:type="dxa"/>
              <w:start w:w="100" w:type="dxa"/>
              <w:bottom w:w="90" w:type="dxa"/>
              <w:end w:w="100" w:type="dxa"/>
            </w:tcMar>
            <w:vAlign w:val="top"/>
          </w:tcPr>
          <w:p>
            <w:pPr>
              <w:spacing w:after="0" w:line="240" w:lineRule="auto"/>
            </w:pPr>
            <w:r>
              <w:rPr>
                <w:sz w:val="12"/>
              </w:rPr>
              <w:t>Customer-posted product/service rating</w:t>
            </w:r>
          </w:p>
        </w:tc>
        <w:tc>
          <w:tcPr>
            <w:tcW w:type="dxa" w:w="1999"/>
            <w:tcMar>
              <w:top w:w="90" w:type="dxa"/>
              <w:start w:w="100" w:type="dxa"/>
              <w:bottom w:w="90" w:type="dxa"/>
              <w:end w:w="100" w:type="dxa"/>
            </w:tcMar>
            <w:vAlign w:val="top"/>
          </w:tcPr>
          <w:p>
            <w:pPr>
              <w:spacing w:after="0" w:line="240" w:lineRule="auto"/>
            </w:pPr>
            <w:r>
              <w:rPr>
                <w:sz w:val="12"/>
              </w:rPr>
              <w:t>ordinal e.g. 1-5</w:t>
            </w:r>
          </w:p>
        </w:tc>
        <w:tc>
          <w:tcPr>
            <w:tcW w:type="dxa" w:w="1999"/>
            <w:tcMar>
              <w:top w:w="90" w:type="dxa"/>
              <w:start w:w="100" w:type="dxa"/>
              <w:bottom w:w="90" w:type="dxa"/>
              <w:end w:w="100" w:type="dxa"/>
            </w:tcMar>
            <w:vAlign w:val="top"/>
          </w:tcPr>
          <w:p>
            <w:pPr>
              <w:spacing w:after="0" w:line="240" w:lineRule="auto"/>
            </w:pPr>
            <w:r>
              <w:rPr>
                <w:sz w:val="12"/>
              </w:rPr>
              <w:t>Optional satisfaction proxy; source: Review platform or linked survey; Optional</w:t>
            </w:r>
          </w:p>
        </w:tc>
        <w:tc>
          <w:tcPr>
            <w:tcW w:type="dxa" w:w="1999"/>
            <w:tcMar>
              <w:top w:w="90" w:type="dxa"/>
              <w:start w:w="100" w:type="dxa"/>
              <w:bottom w:w="90" w:type="dxa"/>
              <w:end w:w="100" w:type="dxa"/>
            </w:tcMar>
            <w:vAlign w:val="top"/>
          </w:tcPr>
          <w:p>
            <w:pPr>
              <w:spacing w:after="0" w:line="240" w:lineRule="auto"/>
            </w:pPr>
            <w:r>
              <w:rPr>
                <w:sz w:val="12"/>
              </w:rPr>
              <w:t>Quality: Scale consistency review timing deduplication selection bias Privacy: Review may be linkable to customer; use approved linkage and suppression</w:t>
            </w:r>
          </w:p>
        </w:tc>
      </w:tr>
      <w:tr>
        <w:tc>
          <w:tcPr>
            <w:tcW w:type="dxa" w:w="1999"/>
            <w:shd w:fill="F3F5F7"/>
            <w:tcMar>
              <w:top w:w="90" w:type="dxa"/>
              <w:start w:w="100" w:type="dxa"/>
              <w:bottom w:w="90" w:type="dxa"/>
              <w:end w:w="100" w:type="dxa"/>
            </w:tcMar>
            <w:vAlign w:val="top"/>
          </w:tcPr>
          <w:p>
            <w:pPr>
              <w:spacing w:after="0" w:line="240" w:lineRule="auto"/>
            </w:pPr>
            <w:r>
              <w:rPr>
                <w:sz w:val="12"/>
              </w:rPr>
              <w:t>review_text</w:t>
            </w:r>
          </w:p>
        </w:tc>
        <w:tc>
          <w:tcPr>
            <w:tcW w:type="dxa" w:w="1999"/>
            <w:shd w:fill="F3F5F7"/>
            <w:tcMar>
              <w:top w:w="90" w:type="dxa"/>
              <w:start w:w="100" w:type="dxa"/>
              <w:bottom w:w="90" w:type="dxa"/>
              <w:end w:w="100" w:type="dxa"/>
            </w:tcMar>
            <w:vAlign w:val="top"/>
          </w:tcPr>
          <w:p>
            <w:pPr>
              <w:spacing w:after="0" w:line="240" w:lineRule="auto"/>
            </w:pPr>
            <w:r>
              <w:rPr>
                <w:sz w:val="12"/>
              </w:rPr>
              <w:t>Customer-authored public or consented text</w:t>
            </w:r>
          </w:p>
        </w:tc>
        <w:tc>
          <w:tcPr>
            <w:tcW w:type="dxa" w:w="1999"/>
            <w:shd w:fill="F3F5F7"/>
            <w:tcMar>
              <w:top w:w="90" w:type="dxa"/>
              <w:start w:w="100" w:type="dxa"/>
              <w:bottom w:w="90" w:type="dxa"/>
              <w:end w:w="100" w:type="dxa"/>
            </w:tcMar>
            <w:vAlign w:val="top"/>
          </w:tcPr>
          <w:p>
            <w:pPr>
              <w:spacing w:after="0" w:line="240" w:lineRule="auto"/>
            </w:pPr>
            <w:r>
              <w:rPr>
                <w:sz w:val="12"/>
              </w:rPr>
              <w:t>string e.g. text excerpt</w:t>
            </w:r>
          </w:p>
        </w:tc>
        <w:tc>
          <w:tcPr>
            <w:tcW w:type="dxa" w:w="1999"/>
            <w:shd w:fill="F3F5F7"/>
            <w:tcMar>
              <w:top w:w="90" w:type="dxa"/>
              <w:start w:w="100" w:type="dxa"/>
              <w:bottom w:w="90" w:type="dxa"/>
              <w:end w:w="100" w:type="dxa"/>
            </w:tcMar>
            <w:vAlign w:val="top"/>
          </w:tcPr>
          <w:p>
            <w:pPr>
              <w:spacing w:after="0" w:line="240" w:lineRule="auto"/>
            </w:pPr>
            <w:r>
              <w:rPr>
                <w:sz w:val="12"/>
              </w:rPr>
              <w:t>Optional qualitative/sentiment input; source: Review platform or approved survey; Optional only after permission/legal review</w:t>
            </w:r>
          </w:p>
        </w:tc>
        <w:tc>
          <w:tcPr>
            <w:tcW w:type="dxa" w:w="1999"/>
            <w:shd w:fill="F3F5F7"/>
            <w:tcMar>
              <w:top w:w="90" w:type="dxa"/>
              <w:start w:w="100" w:type="dxa"/>
              <w:bottom w:w="90" w:type="dxa"/>
              <w:end w:w="100" w:type="dxa"/>
            </w:tcMar>
            <w:vAlign w:val="top"/>
          </w:tcPr>
          <w:p>
            <w:pPr>
              <w:spacing w:after="0" w:line="240" w:lineRule="auto"/>
            </w:pPr>
            <w:r>
              <w:rPr>
                <w:sz w:val="12"/>
              </w:rPr>
              <w:t>Quality: Language spam duplicates bot and sentiment validation Privacy: Potential personal/sensitive data; minimize, redact, restricted processing</w:t>
            </w:r>
          </w:p>
        </w:tc>
      </w:tr>
      <w:tr>
        <w:tc>
          <w:tcPr>
            <w:tcW w:type="dxa" w:w="1999"/>
            <w:tcMar>
              <w:top w:w="90" w:type="dxa"/>
              <w:start w:w="100" w:type="dxa"/>
              <w:bottom w:w="90" w:type="dxa"/>
              <w:end w:w="100" w:type="dxa"/>
            </w:tcMar>
            <w:vAlign w:val="top"/>
          </w:tcPr>
          <w:p>
            <w:pPr>
              <w:spacing w:after="0" w:line="240" w:lineRule="auto"/>
            </w:pPr>
            <w:r>
              <w:rPr>
                <w:sz w:val="12"/>
              </w:rPr>
              <w:t>purchase_frequency</w:t>
            </w:r>
          </w:p>
        </w:tc>
        <w:tc>
          <w:tcPr>
            <w:tcW w:type="dxa" w:w="1999"/>
            <w:tcMar>
              <w:top w:w="90" w:type="dxa"/>
              <w:start w:w="100" w:type="dxa"/>
              <w:bottom w:w="90" w:type="dxa"/>
              <w:end w:w="100" w:type="dxa"/>
            </w:tcMar>
            <w:vAlign w:val="top"/>
          </w:tcPr>
          <w:p>
            <w:pPr>
              <w:spacing w:after="0" w:line="240" w:lineRule="auto"/>
            </w:pPr>
            <w:r>
              <w:rPr>
                <w:sz w:val="12"/>
              </w:rPr>
              <w:t>Count of qualifying orders in fixed lookback</w:t>
            </w:r>
          </w:p>
        </w:tc>
        <w:tc>
          <w:tcPr>
            <w:tcW w:type="dxa" w:w="1999"/>
            <w:tcMar>
              <w:top w:w="90" w:type="dxa"/>
              <w:start w:w="100" w:type="dxa"/>
              <w:bottom w:w="90" w:type="dxa"/>
              <w:end w:w="100" w:type="dxa"/>
            </w:tcMar>
            <w:vAlign w:val="top"/>
          </w:tcPr>
          <w:p>
            <w:pPr>
              <w:spacing w:after="0" w:line="240" w:lineRule="auto"/>
            </w:pPr>
            <w:r>
              <w:rPr>
                <w:sz w:val="12"/>
              </w:rPr>
              <w:t>integer e.g. 3</w:t>
            </w:r>
          </w:p>
        </w:tc>
        <w:tc>
          <w:tcPr>
            <w:tcW w:type="dxa" w:w="1999"/>
            <w:tcMar>
              <w:top w:w="90" w:type="dxa"/>
              <w:start w:w="100" w:type="dxa"/>
              <w:bottom w:w="90" w:type="dxa"/>
              <w:end w:w="100" w:type="dxa"/>
            </w:tcMar>
            <w:vAlign w:val="top"/>
          </w:tcPr>
          <w:p>
            <w:pPr>
              <w:spacing w:after="0" w:line="240" w:lineRule="auto"/>
            </w:pPr>
            <w:r>
              <w:rPr>
                <w:sz w:val="12"/>
              </w:rPr>
              <w:t>Derived feature / descriptive measure; source: Derived from transactions; Required for RFM if enough history</w:t>
            </w:r>
          </w:p>
        </w:tc>
        <w:tc>
          <w:tcPr>
            <w:tcW w:type="dxa" w:w="1999"/>
            <w:tcMar>
              <w:top w:w="90" w:type="dxa"/>
              <w:start w:w="100" w:type="dxa"/>
              <w:bottom w:w="90" w:type="dxa"/>
              <w:end w:w="100" w:type="dxa"/>
            </w:tcMar>
            <w:vAlign w:val="top"/>
          </w:tcPr>
          <w:p>
            <w:pPr>
              <w:spacing w:after="0" w:line="240" w:lineRule="auto"/>
            </w:pPr>
            <w:r>
              <w:rPr>
                <w:sz w:val="12"/>
              </w:rPr>
              <w:t>Quality: Distinct order definition fixed lookback complete history Privacy: Derived personal behavior; pseudonymize</w:t>
            </w:r>
          </w:p>
        </w:tc>
      </w:tr>
      <w:tr>
        <w:tc>
          <w:tcPr>
            <w:tcW w:type="dxa" w:w="1999"/>
            <w:shd w:fill="F3F5F7"/>
            <w:tcMar>
              <w:top w:w="90" w:type="dxa"/>
              <w:start w:w="100" w:type="dxa"/>
              <w:bottom w:w="90" w:type="dxa"/>
              <w:end w:w="100" w:type="dxa"/>
            </w:tcMar>
            <w:vAlign w:val="top"/>
          </w:tcPr>
          <w:p>
            <w:pPr>
              <w:spacing w:after="0" w:line="240" w:lineRule="auto"/>
            </w:pPr>
            <w:r>
              <w:rPr>
                <w:sz w:val="12"/>
              </w:rPr>
              <w:t>days_since_last_purchase</w:t>
            </w:r>
          </w:p>
        </w:tc>
        <w:tc>
          <w:tcPr>
            <w:tcW w:type="dxa" w:w="1999"/>
            <w:shd w:fill="F3F5F7"/>
            <w:tcMar>
              <w:top w:w="90" w:type="dxa"/>
              <w:start w:w="100" w:type="dxa"/>
              <w:bottom w:w="90" w:type="dxa"/>
              <w:end w:w="100" w:type="dxa"/>
            </w:tcMar>
            <w:vAlign w:val="top"/>
          </w:tcPr>
          <w:p>
            <w:pPr>
              <w:spacing w:after="0" w:line="240" w:lineRule="auto"/>
            </w:pPr>
            <w:r>
              <w:rPr>
                <w:sz w:val="12"/>
              </w:rPr>
              <w:t>Days from cutoff to most recent prior qualifying purchase</w:t>
            </w:r>
          </w:p>
        </w:tc>
        <w:tc>
          <w:tcPr>
            <w:tcW w:type="dxa" w:w="1999"/>
            <w:shd w:fill="F3F5F7"/>
            <w:tcMar>
              <w:top w:w="90" w:type="dxa"/>
              <w:start w:w="100" w:type="dxa"/>
              <w:bottom w:w="90" w:type="dxa"/>
              <w:end w:w="100" w:type="dxa"/>
            </w:tcMar>
            <w:vAlign w:val="top"/>
          </w:tcPr>
          <w:p>
            <w:pPr>
              <w:spacing w:after="0" w:line="240" w:lineRule="auto"/>
            </w:pPr>
            <w:r>
              <w:rPr>
                <w:sz w:val="12"/>
              </w:rPr>
              <w:t>integer e.g. 42</w:t>
            </w:r>
          </w:p>
        </w:tc>
        <w:tc>
          <w:tcPr>
            <w:tcW w:type="dxa" w:w="1999"/>
            <w:shd w:fill="F3F5F7"/>
            <w:tcMar>
              <w:top w:w="90" w:type="dxa"/>
              <w:start w:w="100" w:type="dxa"/>
              <w:bottom w:w="90" w:type="dxa"/>
              <w:end w:w="100" w:type="dxa"/>
            </w:tcMar>
            <w:vAlign w:val="top"/>
          </w:tcPr>
          <w:p>
            <w:pPr>
              <w:spacing w:after="0" w:line="240" w:lineRule="auto"/>
            </w:pPr>
            <w:r>
              <w:rPr>
                <w:sz w:val="12"/>
              </w:rPr>
              <w:t>Derived feature / descriptive measure; source: Derived from transactions; Required for recency modeling</w:t>
            </w:r>
          </w:p>
        </w:tc>
        <w:tc>
          <w:tcPr>
            <w:tcW w:type="dxa" w:w="1999"/>
            <w:shd w:fill="F3F5F7"/>
            <w:tcMar>
              <w:top w:w="90" w:type="dxa"/>
              <w:start w:w="100" w:type="dxa"/>
              <w:bottom w:w="90" w:type="dxa"/>
              <w:end w:w="100" w:type="dxa"/>
            </w:tcMar>
            <w:vAlign w:val="top"/>
          </w:tcPr>
          <w:p>
            <w:pPr>
              <w:spacing w:after="0" w:line="240" w:lineRule="auto"/>
            </w:pPr>
            <w:r>
              <w:rPr>
                <w:sz w:val="12"/>
              </w:rPr>
              <w:t>Quality: Nonnegative cutoff event ordering censoring Privacy: Derived personal behavior; prevent leakage</w:t>
            </w:r>
          </w:p>
        </w:tc>
      </w:tr>
      <w:tr>
        <w:tc>
          <w:tcPr>
            <w:tcW w:type="dxa" w:w="1999"/>
            <w:tcMar>
              <w:top w:w="90" w:type="dxa"/>
              <w:start w:w="100" w:type="dxa"/>
              <w:bottom w:w="90" w:type="dxa"/>
              <w:end w:w="100" w:type="dxa"/>
            </w:tcMar>
            <w:vAlign w:val="top"/>
          </w:tcPr>
          <w:p>
            <w:pPr>
              <w:spacing w:after="0" w:line="240" w:lineRule="auto"/>
            </w:pPr>
            <w:r>
              <w:rPr>
                <w:sz w:val="12"/>
              </w:rPr>
              <w:t>repeat_purchase_flag</w:t>
            </w:r>
          </w:p>
        </w:tc>
        <w:tc>
          <w:tcPr>
            <w:tcW w:type="dxa" w:w="1999"/>
            <w:tcMar>
              <w:top w:w="90" w:type="dxa"/>
              <w:start w:w="100" w:type="dxa"/>
              <w:bottom w:w="90" w:type="dxa"/>
              <w:end w:w="100" w:type="dxa"/>
            </w:tcMar>
            <w:vAlign w:val="top"/>
          </w:tcPr>
          <w:p>
            <w:pPr>
              <w:spacing w:after="0" w:line="240" w:lineRule="auto"/>
            </w:pPr>
            <w:r>
              <w:rPr>
                <w:sz w:val="12"/>
              </w:rPr>
              <w:t>Indicator for &gt;=2 qualifying distinct orders in fixed window</w:t>
            </w:r>
          </w:p>
        </w:tc>
        <w:tc>
          <w:tcPr>
            <w:tcW w:type="dxa" w:w="1999"/>
            <w:tcMar>
              <w:top w:w="90" w:type="dxa"/>
              <w:start w:w="100" w:type="dxa"/>
              <w:bottom w:w="90" w:type="dxa"/>
              <w:end w:w="100" w:type="dxa"/>
            </w:tcMar>
            <w:vAlign w:val="top"/>
          </w:tcPr>
          <w:p>
            <w:pPr>
              <w:spacing w:after="0" w:line="240" w:lineRule="auto"/>
            </w:pPr>
            <w:r>
              <w:rPr>
                <w:sz w:val="12"/>
              </w:rPr>
              <w:t>boolean e.g. true</w:t>
            </w:r>
          </w:p>
        </w:tc>
        <w:tc>
          <w:tcPr>
            <w:tcW w:type="dxa" w:w="1999"/>
            <w:tcMar>
              <w:top w:w="90" w:type="dxa"/>
              <w:start w:w="100" w:type="dxa"/>
              <w:bottom w:w="90" w:type="dxa"/>
              <w:end w:w="100" w:type="dxa"/>
            </w:tcMar>
            <w:vAlign w:val="top"/>
          </w:tcPr>
          <w:p>
            <w:pPr>
              <w:spacing w:after="0" w:line="240" w:lineRule="auto"/>
            </w:pPr>
            <w:r>
              <w:rPr>
                <w:sz w:val="12"/>
              </w:rPr>
              <w:t>Outcome; source: Derived from transactions; Required for supervised label only</w:t>
            </w:r>
          </w:p>
        </w:tc>
        <w:tc>
          <w:tcPr>
            <w:tcW w:type="dxa" w:w="1999"/>
            <w:tcMar>
              <w:top w:w="90" w:type="dxa"/>
              <w:start w:w="100" w:type="dxa"/>
              <w:bottom w:w="90" w:type="dxa"/>
              <w:end w:w="100" w:type="dxa"/>
            </w:tcMar>
            <w:vAlign w:val="top"/>
          </w:tcPr>
          <w:p>
            <w:pPr>
              <w:spacing w:after="0" w:line="240" w:lineRule="auto"/>
            </w:pPr>
            <w:r>
              <w:rPr>
                <w:sz w:val="12"/>
              </w:rPr>
              <w:t>Quality: Predefine horizon eligibility distinct orders completed follow-up Privacy: Personal behavior; use minimization</w:t>
            </w:r>
          </w:p>
        </w:tc>
      </w:tr>
      <w:tr>
        <w:tc>
          <w:tcPr>
            <w:tcW w:type="dxa" w:w="1999"/>
            <w:shd w:fill="F3F5F7"/>
            <w:tcMar>
              <w:top w:w="90" w:type="dxa"/>
              <w:start w:w="100" w:type="dxa"/>
              <w:bottom w:w="90" w:type="dxa"/>
              <w:end w:w="100" w:type="dxa"/>
            </w:tcMar>
            <w:vAlign w:val="top"/>
          </w:tcPr>
          <w:p>
            <w:pPr>
              <w:spacing w:after="0" w:line="240" w:lineRule="auto"/>
            </w:pPr>
            <w:r>
              <w:rPr>
                <w:sz w:val="12"/>
              </w:rPr>
              <w:t>customer_tenure_days</w:t>
            </w:r>
          </w:p>
        </w:tc>
        <w:tc>
          <w:tcPr>
            <w:tcW w:type="dxa" w:w="1999"/>
            <w:shd w:fill="F3F5F7"/>
            <w:tcMar>
              <w:top w:w="90" w:type="dxa"/>
              <w:start w:w="100" w:type="dxa"/>
              <w:bottom w:w="90" w:type="dxa"/>
              <w:end w:w="100" w:type="dxa"/>
            </w:tcMar>
            <w:vAlign w:val="top"/>
          </w:tcPr>
          <w:p>
            <w:pPr>
              <w:spacing w:after="0" w:line="240" w:lineRule="auto"/>
            </w:pPr>
            <w:r>
              <w:rPr>
                <w:sz w:val="12"/>
              </w:rPr>
              <w:t>Days from defined first qualifying order/account event to cutoff</w:t>
            </w:r>
          </w:p>
        </w:tc>
        <w:tc>
          <w:tcPr>
            <w:tcW w:type="dxa" w:w="1999"/>
            <w:shd w:fill="F3F5F7"/>
            <w:tcMar>
              <w:top w:w="90" w:type="dxa"/>
              <w:start w:w="100" w:type="dxa"/>
              <w:bottom w:w="90" w:type="dxa"/>
              <w:end w:w="100" w:type="dxa"/>
            </w:tcMar>
            <w:vAlign w:val="top"/>
          </w:tcPr>
          <w:p>
            <w:pPr>
              <w:spacing w:after="0" w:line="240" w:lineRule="auto"/>
            </w:pPr>
            <w:r>
              <w:rPr>
                <w:sz w:val="12"/>
              </w:rPr>
              <w:t>integer e.g. 180</w:t>
            </w:r>
          </w:p>
        </w:tc>
        <w:tc>
          <w:tcPr>
            <w:tcW w:type="dxa" w:w="1999"/>
            <w:shd w:fill="F3F5F7"/>
            <w:tcMar>
              <w:top w:w="90" w:type="dxa"/>
              <w:start w:w="100" w:type="dxa"/>
              <w:bottom w:w="90" w:type="dxa"/>
              <w:end w:w="100" w:type="dxa"/>
            </w:tcMar>
            <w:vAlign w:val="top"/>
          </w:tcPr>
          <w:p>
            <w:pPr>
              <w:spacing w:after="0" w:line="240" w:lineRule="auto"/>
            </w:pPr>
            <w:r>
              <w:rPr>
                <w:sz w:val="12"/>
              </w:rPr>
              <w:t>Derived descriptive/predictor field; source: CRM and transactions; Optional</w:t>
            </w:r>
          </w:p>
        </w:tc>
        <w:tc>
          <w:tcPr>
            <w:tcW w:type="dxa" w:w="1999"/>
            <w:shd w:fill="F3F5F7"/>
            <w:tcMar>
              <w:top w:w="90" w:type="dxa"/>
              <w:start w:w="100" w:type="dxa"/>
              <w:bottom w:w="90" w:type="dxa"/>
              <w:end w:w="100" w:type="dxa"/>
            </w:tcMar>
            <w:vAlign w:val="top"/>
          </w:tcPr>
          <w:p>
            <w:pPr>
              <w:spacing w:after="0" w:line="240" w:lineRule="auto"/>
            </w:pPr>
            <w:r>
              <w:rPr>
                <w:sz w:val="12"/>
              </w:rPr>
              <w:t>Quality: Separate account creation from first purchase; left truncation Privacy: Derived personal behavior</w:t>
            </w:r>
          </w:p>
        </w:tc>
      </w:tr>
      <w:tr>
        <w:tc>
          <w:tcPr>
            <w:tcW w:type="dxa" w:w="1999"/>
            <w:tcMar>
              <w:top w:w="90" w:type="dxa"/>
              <w:start w:w="100" w:type="dxa"/>
              <w:bottom w:w="90" w:type="dxa"/>
              <w:end w:w="100" w:type="dxa"/>
            </w:tcMar>
            <w:vAlign w:val="top"/>
          </w:tcPr>
          <w:p>
            <w:pPr>
              <w:spacing w:after="0" w:line="240" w:lineRule="auto"/>
            </w:pPr>
            <w:r>
              <w:rPr>
                <w:sz w:val="12"/>
              </w:rPr>
              <w:t>customer_segment</w:t>
            </w:r>
          </w:p>
        </w:tc>
        <w:tc>
          <w:tcPr>
            <w:tcW w:type="dxa" w:w="1999"/>
            <w:tcMar>
              <w:top w:w="90" w:type="dxa"/>
              <w:start w:w="100" w:type="dxa"/>
              <w:bottom w:w="90" w:type="dxa"/>
              <w:end w:w="100" w:type="dxa"/>
            </w:tcMar>
            <w:vAlign w:val="top"/>
          </w:tcPr>
          <w:p>
            <w:pPr>
              <w:spacing w:after="0" w:line="240" w:lineRule="auto"/>
            </w:pPr>
            <w:r>
              <w:rPr>
                <w:sz w:val="12"/>
              </w:rPr>
              <w:t>Rule-based or learned segment assigned at cutoff</w:t>
            </w:r>
          </w:p>
        </w:tc>
        <w:tc>
          <w:tcPr>
            <w:tcW w:type="dxa" w:w="1999"/>
            <w:tcMar>
              <w:top w:w="90" w:type="dxa"/>
              <w:start w:w="100" w:type="dxa"/>
              <w:bottom w:w="90" w:type="dxa"/>
              <w:end w:w="100" w:type="dxa"/>
            </w:tcMar>
            <w:vAlign w:val="top"/>
          </w:tcPr>
          <w:p>
            <w:pPr>
              <w:spacing w:after="0" w:line="240" w:lineRule="auto"/>
            </w:pPr>
            <w:r>
              <w:rPr>
                <w:sz w:val="12"/>
              </w:rPr>
              <w:t>category e.g. RFM-high</w:t>
            </w:r>
          </w:p>
        </w:tc>
        <w:tc>
          <w:tcPr>
            <w:tcW w:type="dxa" w:w="1999"/>
            <w:tcMar>
              <w:top w:w="90" w:type="dxa"/>
              <w:start w:w="100" w:type="dxa"/>
              <w:bottom w:w="90" w:type="dxa"/>
              <w:end w:w="100" w:type="dxa"/>
            </w:tcMar>
            <w:vAlign w:val="top"/>
          </w:tcPr>
          <w:p>
            <w:pPr>
              <w:spacing w:after="0" w:line="240" w:lineRule="auto"/>
            </w:pPr>
            <w:r>
              <w:rPr>
                <w:sz w:val="12"/>
              </w:rPr>
              <w:t>Descriptive output / intervention planning; source: Derived from approved features; Optional</w:t>
            </w:r>
          </w:p>
        </w:tc>
        <w:tc>
          <w:tcPr>
            <w:tcW w:type="dxa" w:w="1999"/>
            <w:tcMar>
              <w:top w:w="90" w:type="dxa"/>
              <w:start w:w="100" w:type="dxa"/>
              <w:bottom w:w="90" w:type="dxa"/>
              <w:end w:w="100" w:type="dxa"/>
            </w:tcMar>
            <w:vAlign w:val="top"/>
          </w:tcPr>
          <w:p>
            <w:pPr>
              <w:spacing w:after="0" w:line="240" w:lineRule="auto"/>
            </w:pPr>
            <w:r>
              <w:rPr>
                <w:sz w:val="12"/>
              </w:rPr>
              <w:t>Quality: Stability sample sizes leakage and reproducibility Privacy: May influence treatment; fairness and exclusion review required</w:t>
            </w:r>
          </w:p>
        </w:tc>
      </w:tr>
      <w:tr>
        <w:tc>
          <w:tcPr>
            <w:tcW w:type="dxa" w:w="1999"/>
            <w:shd w:fill="F3F5F7"/>
            <w:tcMar>
              <w:top w:w="90" w:type="dxa"/>
              <w:start w:w="100" w:type="dxa"/>
              <w:bottom w:w="90" w:type="dxa"/>
              <w:end w:w="100" w:type="dxa"/>
            </w:tcMar>
            <w:vAlign w:val="top"/>
          </w:tcPr>
          <w:p>
            <w:pPr>
              <w:spacing w:after="0" w:line="240" w:lineRule="auto"/>
            </w:pPr>
            <w:r>
              <w:rPr>
                <w:sz w:val="12"/>
              </w:rPr>
              <w:t>order_status</w:t>
            </w:r>
          </w:p>
        </w:tc>
        <w:tc>
          <w:tcPr>
            <w:tcW w:type="dxa" w:w="1999"/>
            <w:shd w:fill="F3F5F7"/>
            <w:tcMar>
              <w:top w:w="90" w:type="dxa"/>
              <w:start w:w="100" w:type="dxa"/>
              <w:bottom w:w="90" w:type="dxa"/>
              <w:end w:w="100" w:type="dxa"/>
            </w:tcMar>
            <w:vAlign w:val="top"/>
          </w:tcPr>
          <w:p>
            <w:pPr>
              <w:spacing w:after="0" w:line="240" w:lineRule="auto"/>
            </w:pPr>
            <w:r>
              <w:rPr>
                <w:sz w:val="12"/>
              </w:rPr>
              <w:t>Lifecycle state for order</w:t>
            </w:r>
          </w:p>
        </w:tc>
        <w:tc>
          <w:tcPr>
            <w:tcW w:type="dxa" w:w="1999"/>
            <w:shd w:fill="F3F5F7"/>
            <w:tcMar>
              <w:top w:w="90" w:type="dxa"/>
              <w:start w:w="100" w:type="dxa"/>
              <w:bottom w:w="90" w:type="dxa"/>
              <w:end w:w="100" w:type="dxa"/>
            </w:tcMar>
            <w:vAlign w:val="top"/>
          </w:tcPr>
          <w:p>
            <w:pPr>
              <w:spacing w:after="0" w:line="240" w:lineRule="auto"/>
            </w:pPr>
            <w:r>
              <w:rPr>
                <w:sz w:val="12"/>
              </w:rPr>
              <w:t>category e.g. completed</w:t>
            </w:r>
          </w:p>
        </w:tc>
        <w:tc>
          <w:tcPr>
            <w:tcW w:type="dxa" w:w="1999"/>
            <w:shd w:fill="F3F5F7"/>
            <w:tcMar>
              <w:top w:w="90" w:type="dxa"/>
              <w:start w:w="100" w:type="dxa"/>
              <w:bottom w:w="90" w:type="dxa"/>
              <w:end w:w="100" w:type="dxa"/>
            </w:tcMar>
            <w:vAlign w:val="top"/>
          </w:tcPr>
          <w:p>
            <w:pPr>
              <w:spacing w:after="0" w:line="240" w:lineRule="auto"/>
            </w:pPr>
            <w:r>
              <w:rPr>
                <w:sz w:val="12"/>
              </w:rPr>
              <w:t>Eligibility filter; source: Commerce POS source; Required</w:t>
            </w:r>
          </w:p>
        </w:tc>
        <w:tc>
          <w:tcPr>
            <w:tcW w:type="dxa" w:w="1999"/>
            <w:shd w:fill="F3F5F7"/>
            <w:tcMar>
              <w:top w:w="90" w:type="dxa"/>
              <w:start w:w="100" w:type="dxa"/>
              <w:bottom w:w="90" w:type="dxa"/>
              <w:end w:w="100" w:type="dxa"/>
            </w:tcMar>
            <w:vAlign w:val="top"/>
          </w:tcPr>
          <w:p>
            <w:pPr>
              <w:spacing w:after="0" w:line="240" w:lineRule="auto"/>
            </w:pPr>
            <w:r>
              <w:rPr>
                <w:sz w:val="12"/>
              </w:rPr>
              <w:t>Quality: Document completed cancelled refunded rules Privacy: No direct identity</w:t>
            </w:r>
          </w:p>
        </w:tc>
      </w:tr>
      <w:tr>
        <w:tc>
          <w:tcPr>
            <w:tcW w:type="dxa" w:w="1999"/>
            <w:tcMar>
              <w:top w:w="90" w:type="dxa"/>
              <w:start w:w="100" w:type="dxa"/>
              <w:bottom w:w="90" w:type="dxa"/>
              <w:end w:w="100" w:type="dxa"/>
            </w:tcMar>
            <w:vAlign w:val="top"/>
          </w:tcPr>
          <w:p>
            <w:pPr>
              <w:spacing w:after="0" w:line="240" w:lineRule="auto"/>
            </w:pPr>
            <w:r>
              <w:rPr>
                <w:sz w:val="12"/>
              </w:rPr>
              <w:t>currency</w:t>
            </w:r>
          </w:p>
        </w:tc>
        <w:tc>
          <w:tcPr>
            <w:tcW w:type="dxa" w:w="1999"/>
            <w:tcMar>
              <w:top w:w="90" w:type="dxa"/>
              <w:start w:w="100" w:type="dxa"/>
              <w:bottom w:w="90" w:type="dxa"/>
              <w:end w:w="100" w:type="dxa"/>
            </w:tcMar>
            <w:vAlign w:val="top"/>
          </w:tcPr>
          <w:p>
            <w:pPr>
              <w:spacing w:after="0" w:line="240" w:lineRule="auto"/>
            </w:pPr>
            <w:r>
              <w:rPr>
                <w:sz w:val="12"/>
              </w:rPr>
              <w:t>ISO currency code</w:t>
            </w:r>
          </w:p>
        </w:tc>
        <w:tc>
          <w:tcPr>
            <w:tcW w:type="dxa" w:w="1999"/>
            <w:tcMar>
              <w:top w:w="90" w:type="dxa"/>
              <w:start w:w="100" w:type="dxa"/>
              <w:bottom w:w="90" w:type="dxa"/>
              <w:end w:w="100" w:type="dxa"/>
            </w:tcMar>
            <w:vAlign w:val="top"/>
          </w:tcPr>
          <w:p>
            <w:pPr>
              <w:spacing w:after="0" w:line="240" w:lineRule="auto"/>
            </w:pPr>
            <w:r>
              <w:rPr>
                <w:sz w:val="12"/>
              </w:rPr>
              <w:t>string e.g. GBP</w:t>
            </w:r>
          </w:p>
        </w:tc>
        <w:tc>
          <w:tcPr>
            <w:tcW w:type="dxa" w:w="1999"/>
            <w:tcMar>
              <w:top w:w="90" w:type="dxa"/>
              <w:start w:w="100" w:type="dxa"/>
              <w:bottom w:w="90" w:type="dxa"/>
              <w:end w:w="100" w:type="dxa"/>
            </w:tcMar>
            <w:vAlign w:val="top"/>
          </w:tcPr>
          <w:p>
            <w:pPr>
              <w:spacing w:after="0" w:line="240" w:lineRule="auto"/>
            </w:pPr>
            <w:r>
              <w:rPr>
                <w:sz w:val="12"/>
              </w:rPr>
              <w:t>Validation and conversion; source: Transaction source; Required if multi-currency</w:t>
            </w:r>
          </w:p>
        </w:tc>
        <w:tc>
          <w:tcPr>
            <w:tcW w:type="dxa" w:w="1999"/>
            <w:tcMar>
              <w:top w:w="90" w:type="dxa"/>
              <w:start w:w="100" w:type="dxa"/>
              <w:bottom w:w="90" w:type="dxa"/>
              <w:end w:w="100" w:type="dxa"/>
            </w:tcMar>
            <w:vAlign w:val="top"/>
          </w:tcPr>
          <w:p>
            <w:pPr>
              <w:spacing w:after="0" w:line="240" w:lineRule="auto"/>
            </w:pPr>
            <w:r>
              <w:rPr>
                <w:sz w:val="12"/>
              </w:rPr>
              <w:t>Quality: Valid code and dated FX convention Privacy: No direct identity</w:t>
            </w:r>
          </w:p>
        </w:tc>
      </w:tr>
      <w:tr>
        <w:tc>
          <w:tcPr>
            <w:tcW w:type="dxa" w:w="1999"/>
            <w:shd w:fill="F3F5F7"/>
            <w:tcMar>
              <w:top w:w="90" w:type="dxa"/>
              <w:start w:w="100" w:type="dxa"/>
              <w:bottom w:w="90" w:type="dxa"/>
              <w:end w:w="100" w:type="dxa"/>
            </w:tcMar>
            <w:vAlign w:val="top"/>
          </w:tcPr>
          <w:p>
            <w:pPr>
              <w:spacing w:after="0" w:line="240" w:lineRule="auto"/>
            </w:pPr>
            <w:r>
              <w:rPr>
                <w:sz w:val="12"/>
              </w:rPr>
              <w:t>gross_sales</w:t>
            </w:r>
          </w:p>
        </w:tc>
        <w:tc>
          <w:tcPr>
            <w:tcW w:type="dxa" w:w="1999"/>
            <w:shd w:fill="F3F5F7"/>
            <w:tcMar>
              <w:top w:w="90" w:type="dxa"/>
              <w:start w:w="100" w:type="dxa"/>
              <w:bottom w:w="90" w:type="dxa"/>
              <w:end w:w="100" w:type="dxa"/>
            </w:tcMar>
            <w:vAlign w:val="top"/>
          </w:tcPr>
          <w:p>
            <w:pPr>
              <w:spacing w:after="0" w:line="240" w:lineRule="auto"/>
            </w:pPr>
            <w:r>
              <w:rPr>
                <w:sz w:val="12"/>
              </w:rPr>
              <w:t>Pre-discount line/order value</w:t>
            </w:r>
          </w:p>
        </w:tc>
        <w:tc>
          <w:tcPr>
            <w:tcW w:type="dxa" w:w="1999"/>
            <w:shd w:fill="F3F5F7"/>
            <w:tcMar>
              <w:top w:w="90" w:type="dxa"/>
              <w:start w:w="100" w:type="dxa"/>
              <w:bottom w:w="90" w:type="dxa"/>
              <w:end w:w="100" w:type="dxa"/>
            </w:tcMar>
            <w:vAlign w:val="top"/>
          </w:tcPr>
          <w:p>
            <w:pPr>
              <w:spacing w:after="0" w:line="240" w:lineRule="auto"/>
            </w:pPr>
            <w:r>
              <w:rPr>
                <w:sz w:val="12"/>
              </w:rPr>
              <w:t>currency e.g. 50.00</w:t>
            </w:r>
          </w:p>
        </w:tc>
        <w:tc>
          <w:tcPr>
            <w:tcW w:type="dxa" w:w="1999"/>
            <w:shd w:fill="F3F5F7"/>
            <w:tcMar>
              <w:top w:w="90" w:type="dxa"/>
              <w:start w:w="100" w:type="dxa"/>
              <w:bottom w:w="90" w:type="dxa"/>
              <w:end w:w="100" w:type="dxa"/>
            </w:tcMar>
            <w:vAlign w:val="top"/>
          </w:tcPr>
          <w:p>
            <w:pPr>
              <w:spacing w:after="0" w:line="240" w:lineRule="auto"/>
            </w:pPr>
            <w:r>
              <w:rPr>
                <w:sz w:val="12"/>
              </w:rPr>
              <w:t>Revenue base; source: Transaction source; Required for discount calculations</w:t>
            </w:r>
          </w:p>
        </w:tc>
        <w:tc>
          <w:tcPr>
            <w:tcW w:type="dxa" w:w="1999"/>
            <w:shd w:fill="F3F5F7"/>
            <w:tcMar>
              <w:top w:w="90" w:type="dxa"/>
              <w:start w:w="100" w:type="dxa"/>
              <w:bottom w:w="90" w:type="dxa"/>
              <w:end w:w="100" w:type="dxa"/>
            </w:tcMar>
            <w:vAlign w:val="top"/>
          </w:tcPr>
          <w:p>
            <w:pPr>
              <w:spacing w:after="0" w:line="240" w:lineRule="auto"/>
            </w:pPr>
            <w:r>
              <w:rPr>
                <w:sz w:val="12"/>
              </w:rPr>
              <w:t>Quality: Reconcile line and order totals currency and tax convention Privacy: Commercially sensitive</w:t>
            </w:r>
          </w:p>
        </w:tc>
      </w:tr>
      <w:tr>
        <w:tc>
          <w:tcPr>
            <w:tcW w:type="dxa" w:w="1999"/>
            <w:tcMar>
              <w:top w:w="90" w:type="dxa"/>
              <w:start w:w="100" w:type="dxa"/>
              <w:bottom w:w="90" w:type="dxa"/>
              <w:end w:w="100" w:type="dxa"/>
            </w:tcMar>
            <w:vAlign w:val="top"/>
          </w:tcPr>
          <w:p>
            <w:pPr>
              <w:spacing w:after="0" w:line="240" w:lineRule="auto"/>
            </w:pPr>
            <w:r>
              <w:rPr>
                <w:sz w:val="12"/>
              </w:rPr>
              <w:t>refund_amount</w:t>
            </w:r>
          </w:p>
        </w:tc>
        <w:tc>
          <w:tcPr>
            <w:tcW w:type="dxa" w:w="1999"/>
            <w:tcMar>
              <w:top w:w="90" w:type="dxa"/>
              <w:start w:w="100" w:type="dxa"/>
              <w:bottom w:w="90" w:type="dxa"/>
              <w:end w:w="100" w:type="dxa"/>
            </w:tcMar>
            <w:vAlign w:val="top"/>
          </w:tcPr>
          <w:p>
            <w:pPr>
              <w:spacing w:after="0" w:line="240" w:lineRule="auto"/>
            </w:pPr>
            <w:r>
              <w:rPr>
                <w:sz w:val="12"/>
              </w:rPr>
              <w:t>Refunded/returned value</w:t>
            </w:r>
          </w:p>
        </w:tc>
        <w:tc>
          <w:tcPr>
            <w:tcW w:type="dxa" w:w="1999"/>
            <w:tcMar>
              <w:top w:w="90" w:type="dxa"/>
              <w:start w:w="100" w:type="dxa"/>
              <w:bottom w:w="90" w:type="dxa"/>
              <w:end w:w="100" w:type="dxa"/>
            </w:tcMar>
            <w:vAlign w:val="top"/>
          </w:tcPr>
          <w:p>
            <w:pPr>
              <w:spacing w:after="0" w:line="240" w:lineRule="auto"/>
            </w:pPr>
            <w:r>
              <w:rPr>
                <w:sz w:val="12"/>
              </w:rPr>
              <w:t>currency e.g. 5.00</w:t>
            </w:r>
          </w:p>
        </w:tc>
        <w:tc>
          <w:tcPr>
            <w:tcW w:type="dxa" w:w="1999"/>
            <w:tcMar>
              <w:top w:w="90" w:type="dxa"/>
              <w:start w:w="100" w:type="dxa"/>
              <w:bottom w:w="90" w:type="dxa"/>
              <w:end w:w="100" w:type="dxa"/>
            </w:tcMar>
            <w:vAlign w:val="top"/>
          </w:tcPr>
          <w:p>
            <w:pPr>
              <w:spacing w:after="0" w:line="240" w:lineRule="auto"/>
            </w:pPr>
            <w:r>
              <w:rPr>
                <w:sz w:val="12"/>
              </w:rPr>
              <w:t>Net value calculation; source: Returns system; Optional but recommended</w:t>
            </w:r>
          </w:p>
        </w:tc>
        <w:tc>
          <w:tcPr>
            <w:tcW w:type="dxa" w:w="1999"/>
            <w:tcMar>
              <w:top w:w="90" w:type="dxa"/>
              <w:start w:w="100" w:type="dxa"/>
              <w:bottom w:w="90" w:type="dxa"/>
              <w:end w:w="100" w:type="dxa"/>
            </w:tcMar>
            <w:vAlign w:val="top"/>
          </w:tcPr>
          <w:p>
            <w:pPr>
              <w:spacing w:after="0" w:line="240" w:lineRule="auto"/>
            </w:pPr>
            <w:r>
              <w:rPr>
                <w:sz w:val="12"/>
              </w:rPr>
              <w:t>Quality: Link return to original order and avoid double-counting Privacy: Purchase-derived</w:t>
            </w:r>
          </w:p>
        </w:tc>
      </w:tr>
      <w:tr>
        <w:tc>
          <w:tcPr>
            <w:tcW w:type="dxa" w:w="1999"/>
            <w:shd w:fill="F3F5F7"/>
            <w:tcMar>
              <w:top w:w="90" w:type="dxa"/>
              <w:start w:w="100" w:type="dxa"/>
              <w:bottom w:w="90" w:type="dxa"/>
              <w:end w:w="100" w:type="dxa"/>
            </w:tcMar>
            <w:vAlign w:val="top"/>
          </w:tcPr>
          <w:p>
            <w:pPr>
              <w:spacing w:after="0" w:line="240" w:lineRule="auto"/>
            </w:pPr>
            <w:r>
              <w:rPr>
                <w:sz w:val="12"/>
              </w:rPr>
              <w:t>net_sales</w:t>
            </w:r>
          </w:p>
        </w:tc>
        <w:tc>
          <w:tcPr>
            <w:tcW w:type="dxa" w:w="1999"/>
            <w:shd w:fill="F3F5F7"/>
            <w:tcMar>
              <w:top w:w="90" w:type="dxa"/>
              <w:start w:w="100" w:type="dxa"/>
              <w:bottom w:w="90" w:type="dxa"/>
              <w:end w:w="100" w:type="dxa"/>
            </w:tcMar>
            <w:vAlign w:val="top"/>
          </w:tcPr>
          <w:p>
            <w:pPr>
              <w:spacing w:after="0" w:line="240" w:lineRule="auto"/>
            </w:pPr>
            <w:r>
              <w:rPr>
                <w:sz w:val="12"/>
              </w:rPr>
              <w:t>Sales net of agreed discount/refund/tax/shipping treatment</w:t>
            </w:r>
          </w:p>
        </w:tc>
        <w:tc>
          <w:tcPr>
            <w:tcW w:type="dxa" w:w="1999"/>
            <w:shd w:fill="F3F5F7"/>
            <w:tcMar>
              <w:top w:w="90" w:type="dxa"/>
              <w:start w:w="100" w:type="dxa"/>
              <w:bottom w:w="90" w:type="dxa"/>
              <w:end w:w="100" w:type="dxa"/>
            </w:tcMar>
            <w:vAlign w:val="top"/>
          </w:tcPr>
          <w:p>
            <w:pPr>
              <w:spacing w:after="0" w:line="240" w:lineRule="auto"/>
            </w:pPr>
            <w:r>
              <w:rPr>
                <w:sz w:val="12"/>
              </w:rPr>
              <w:t>currency e.g. 40.00</w:t>
            </w:r>
          </w:p>
        </w:tc>
        <w:tc>
          <w:tcPr>
            <w:tcW w:type="dxa" w:w="1999"/>
            <w:shd w:fill="F3F5F7"/>
            <w:tcMar>
              <w:top w:w="90" w:type="dxa"/>
              <w:start w:w="100" w:type="dxa"/>
              <w:bottom w:w="90" w:type="dxa"/>
              <w:end w:w="100" w:type="dxa"/>
            </w:tcMar>
            <w:vAlign w:val="top"/>
          </w:tcPr>
          <w:p>
            <w:pPr>
              <w:spacing w:after="0" w:line="240" w:lineRule="auto"/>
            </w:pPr>
            <w:r>
              <w:rPr>
                <w:sz w:val="12"/>
              </w:rPr>
              <w:t>Value outcome; source: Derived with finance approval; Required for commercial outcome</w:t>
            </w:r>
          </w:p>
        </w:tc>
        <w:tc>
          <w:tcPr>
            <w:tcW w:type="dxa" w:w="1999"/>
            <w:shd w:fill="F3F5F7"/>
            <w:tcMar>
              <w:top w:w="90" w:type="dxa"/>
              <w:start w:w="100" w:type="dxa"/>
              <w:bottom w:w="90" w:type="dxa"/>
              <w:end w:w="100" w:type="dxa"/>
            </w:tcMar>
            <w:vAlign w:val="top"/>
          </w:tcPr>
          <w:p>
            <w:pPr>
              <w:spacing w:after="0" w:line="240" w:lineRule="auto"/>
            </w:pPr>
            <w:r>
              <w:rPr>
                <w:sz w:val="12"/>
              </w:rPr>
              <w:t>Quality: Reconcile to finance accounting definition Privacy: Purchase-derived</w:t>
            </w:r>
          </w:p>
        </w:tc>
      </w:tr>
      <w:tr>
        <w:tc>
          <w:tcPr>
            <w:tcW w:type="dxa" w:w="1999"/>
            <w:tcMar>
              <w:top w:w="90" w:type="dxa"/>
              <w:start w:w="100" w:type="dxa"/>
              <w:bottom w:w="90" w:type="dxa"/>
              <w:end w:w="100" w:type="dxa"/>
            </w:tcMar>
            <w:vAlign w:val="top"/>
          </w:tcPr>
          <w:p>
            <w:pPr>
              <w:spacing w:after="0" w:line="240" w:lineRule="auto"/>
            </w:pPr>
            <w:r>
              <w:rPr>
                <w:sz w:val="12"/>
              </w:rPr>
              <w:t>channel</w:t>
            </w:r>
          </w:p>
        </w:tc>
        <w:tc>
          <w:tcPr>
            <w:tcW w:type="dxa" w:w="1999"/>
            <w:tcMar>
              <w:top w:w="90" w:type="dxa"/>
              <w:start w:w="100" w:type="dxa"/>
              <w:bottom w:w="90" w:type="dxa"/>
              <w:end w:w="100" w:type="dxa"/>
            </w:tcMar>
            <w:vAlign w:val="top"/>
          </w:tcPr>
          <w:p>
            <w:pPr>
              <w:spacing w:after="0" w:line="240" w:lineRule="auto"/>
            </w:pPr>
            <w:r>
              <w:rPr>
                <w:sz w:val="12"/>
              </w:rPr>
              <w:t>Sales channel at time of purchase</w:t>
            </w:r>
          </w:p>
        </w:tc>
        <w:tc>
          <w:tcPr>
            <w:tcW w:type="dxa" w:w="1999"/>
            <w:tcMar>
              <w:top w:w="90" w:type="dxa"/>
              <w:start w:w="100" w:type="dxa"/>
              <w:bottom w:w="90" w:type="dxa"/>
              <w:end w:w="100" w:type="dxa"/>
            </w:tcMar>
            <w:vAlign w:val="top"/>
          </w:tcPr>
          <w:p>
            <w:pPr>
              <w:spacing w:after="0" w:line="240" w:lineRule="auto"/>
            </w:pPr>
            <w:r>
              <w:rPr>
                <w:sz w:val="12"/>
              </w:rPr>
              <w:t>category e.g. store</w:t>
            </w:r>
          </w:p>
        </w:tc>
        <w:tc>
          <w:tcPr>
            <w:tcW w:type="dxa" w:w="1999"/>
            <w:tcMar>
              <w:top w:w="90" w:type="dxa"/>
              <w:start w:w="100" w:type="dxa"/>
              <w:bottom w:w="90" w:type="dxa"/>
              <w:end w:w="100" w:type="dxa"/>
            </w:tcMar>
            <w:vAlign w:val="top"/>
          </w:tcPr>
          <w:p>
            <w:pPr>
              <w:spacing w:after="0" w:line="240" w:lineRule="auto"/>
            </w:pPr>
            <w:r>
              <w:rPr>
                <w:sz w:val="12"/>
              </w:rPr>
              <w:t>Stratification; source: Commerce POS; Optional</w:t>
            </w:r>
          </w:p>
        </w:tc>
        <w:tc>
          <w:tcPr>
            <w:tcW w:type="dxa" w:w="1999"/>
            <w:tcMar>
              <w:top w:w="90" w:type="dxa"/>
              <w:start w:w="100" w:type="dxa"/>
              <w:bottom w:w="90" w:type="dxa"/>
              <w:end w:w="100" w:type="dxa"/>
            </w:tcMar>
            <w:vAlign w:val="top"/>
          </w:tcPr>
          <w:p>
            <w:pPr>
              <w:spacing w:after="0" w:line="240" w:lineRule="auto"/>
            </w:pPr>
            <w:r>
              <w:rPr>
                <w:sz w:val="12"/>
              </w:rPr>
              <w:t>Quality: Stable historical mapping Privacy: Purchase-derived</w:t>
            </w:r>
          </w:p>
        </w:tc>
      </w:tr>
      <w:tr>
        <w:tc>
          <w:tcPr>
            <w:tcW w:type="dxa" w:w="1999"/>
            <w:shd w:fill="F3F5F7"/>
            <w:tcMar>
              <w:top w:w="90" w:type="dxa"/>
              <w:start w:w="100" w:type="dxa"/>
              <w:bottom w:w="90" w:type="dxa"/>
              <w:end w:w="100" w:type="dxa"/>
            </w:tcMar>
            <w:vAlign w:val="top"/>
          </w:tcPr>
          <w:p>
            <w:pPr>
              <w:spacing w:after="0" w:line="240" w:lineRule="auto"/>
            </w:pPr>
            <w:r>
              <w:rPr>
                <w:sz w:val="12"/>
              </w:rPr>
              <w:t>market</w:t>
            </w:r>
          </w:p>
        </w:tc>
        <w:tc>
          <w:tcPr>
            <w:tcW w:type="dxa" w:w="1999"/>
            <w:shd w:fill="F3F5F7"/>
            <w:tcMar>
              <w:top w:w="90" w:type="dxa"/>
              <w:start w:w="100" w:type="dxa"/>
              <w:bottom w:w="90" w:type="dxa"/>
              <w:end w:w="100" w:type="dxa"/>
            </w:tcMar>
            <w:vAlign w:val="top"/>
          </w:tcPr>
          <w:p>
            <w:pPr>
              <w:spacing w:after="0" w:line="240" w:lineRule="auto"/>
            </w:pPr>
            <w:r>
              <w:rPr>
                <w:sz w:val="12"/>
              </w:rPr>
              <w:t>Coarse approved geography</w:t>
            </w:r>
          </w:p>
        </w:tc>
        <w:tc>
          <w:tcPr>
            <w:tcW w:type="dxa" w:w="1999"/>
            <w:shd w:fill="F3F5F7"/>
            <w:tcMar>
              <w:top w:w="90" w:type="dxa"/>
              <w:start w:w="100" w:type="dxa"/>
              <w:bottom w:w="90" w:type="dxa"/>
              <w:end w:w="100" w:type="dxa"/>
            </w:tcMar>
            <w:vAlign w:val="top"/>
          </w:tcPr>
          <w:p>
            <w:pPr>
              <w:spacing w:after="0" w:line="240" w:lineRule="auto"/>
            </w:pPr>
            <w:r>
              <w:rPr>
                <w:sz w:val="12"/>
              </w:rPr>
              <w:t>category e.g. UK</w:t>
            </w:r>
          </w:p>
        </w:tc>
        <w:tc>
          <w:tcPr>
            <w:tcW w:type="dxa" w:w="1999"/>
            <w:shd w:fill="F3F5F7"/>
            <w:tcMar>
              <w:top w:w="90" w:type="dxa"/>
              <w:start w:w="100" w:type="dxa"/>
              <w:bottom w:w="90" w:type="dxa"/>
              <w:end w:w="100" w:type="dxa"/>
            </w:tcMar>
            <w:vAlign w:val="top"/>
          </w:tcPr>
          <w:p>
            <w:pPr>
              <w:spacing w:after="0" w:line="240" w:lineRule="auto"/>
            </w:pPr>
            <w:r>
              <w:rPr>
                <w:sz w:val="12"/>
              </w:rPr>
              <w:t>Stratification; source: CRM or transaction system; Optional</w:t>
            </w:r>
          </w:p>
        </w:tc>
        <w:tc>
          <w:tcPr>
            <w:tcW w:type="dxa" w:w="1999"/>
            <w:shd w:fill="F3F5F7"/>
            <w:tcMar>
              <w:top w:w="90" w:type="dxa"/>
              <w:start w:w="100" w:type="dxa"/>
              <w:bottom w:w="90" w:type="dxa"/>
              <w:end w:w="100" w:type="dxa"/>
            </w:tcMar>
            <w:vAlign w:val="top"/>
          </w:tcPr>
          <w:p>
            <w:pPr>
              <w:spacing w:after="0" w:line="240" w:lineRule="auto"/>
            </w:pPr>
            <w:r>
              <w:rPr>
                <w:sz w:val="12"/>
              </w:rPr>
              <w:t>Quality: Country mapping suppression small cells Privacy: Coarse location still potentially personal</w:t>
            </w:r>
          </w:p>
        </w:tc>
      </w:tr>
      <w:tr>
        <w:tc>
          <w:tcPr>
            <w:tcW w:type="dxa" w:w="1999"/>
            <w:tcMar>
              <w:top w:w="90" w:type="dxa"/>
              <w:start w:w="100" w:type="dxa"/>
              <w:bottom w:w="90" w:type="dxa"/>
              <w:end w:w="100" w:type="dxa"/>
            </w:tcMar>
            <w:vAlign w:val="top"/>
          </w:tcPr>
          <w:p>
            <w:pPr>
              <w:spacing w:after="0" w:line="240" w:lineRule="auto"/>
            </w:pPr>
            <w:r>
              <w:rPr>
                <w:sz w:val="12"/>
              </w:rPr>
              <w:t>customer_created_date</w:t>
            </w:r>
          </w:p>
        </w:tc>
        <w:tc>
          <w:tcPr>
            <w:tcW w:type="dxa" w:w="1999"/>
            <w:tcMar>
              <w:top w:w="90" w:type="dxa"/>
              <w:start w:w="100" w:type="dxa"/>
              <w:bottom w:w="90" w:type="dxa"/>
              <w:end w:w="100" w:type="dxa"/>
            </w:tcMar>
            <w:vAlign w:val="top"/>
          </w:tcPr>
          <w:p>
            <w:pPr>
              <w:spacing w:after="0" w:line="240" w:lineRule="auto"/>
            </w:pPr>
            <w:r>
              <w:rPr>
                <w:sz w:val="12"/>
              </w:rPr>
              <w:t>Date customer account created</w:t>
            </w:r>
          </w:p>
        </w:tc>
        <w:tc>
          <w:tcPr>
            <w:tcW w:type="dxa" w:w="1999"/>
            <w:tcMar>
              <w:top w:w="90" w:type="dxa"/>
              <w:start w:w="100" w:type="dxa"/>
              <w:bottom w:w="90" w:type="dxa"/>
              <w:end w:w="100" w:type="dxa"/>
            </w:tcMar>
            <w:vAlign w:val="top"/>
          </w:tcPr>
          <w:p>
            <w:pPr>
              <w:spacing w:after="0" w:line="240" w:lineRule="auto"/>
            </w:pPr>
            <w:r>
              <w:rPr>
                <w:sz w:val="12"/>
              </w:rPr>
              <w:t>date e.g. 2024-02-01</w:t>
            </w:r>
          </w:p>
        </w:tc>
        <w:tc>
          <w:tcPr>
            <w:tcW w:type="dxa" w:w="1999"/>
            <w:tcMar>
              <w:top w:w="90" w:type="dxa"/>
              <w:start w:w="100" w:type="dxa"/>
              <w:bottom w:w="90" w:type="dxa"/>
              <w:end w:w="100" w:type="dxa"/>
            </w:tcMar>
            <w:vAlign w:val="top"/>
          </w:tcPr>
          <w:p>
            <w:pPr>
              <w:spacing w:after="0" w:line="240" w:lineRule="auto"/>
            </w:pPr>
            <w:r>
              <w:rPr>
                <w:sz w:val="12"/>
              </w:rPr>
              <w:t>Tenure/context candidate; source: CRM; Optional</w:t>
            </w:r>
          </w:p>
        </w:tc>
        <w:tc>
          <w:tcPr>
            <w:tcW w:type="dxa" w:w="1999"/>
            <w:tcMar>
              <w:top w:w="90" w:type="dxa"/>
              <w:start w:w="100" w:type="dxa"/>
              <w:bottom w:w="90" w:type="dxa"/>
              <w:end w:w="100" w:type="dxa"/>
            </w:tcMar>
            <w:vAlign w:val="top"/>
          </w:tcPr>
          <w:p>
            <w:pPr>
              <w:spacing w:after="0" w:line="240" w:lineRule="auto"/>
            </w:pPr>
            <w:r>
              <w:rPr>
                <w:sz w:val="12"/>
              </w:rPr>
              <w:t>Quality: Valid date; not equivalent to first purchase Privacy: Personal data; minimize</w:t>
            </w:r>
          </w:p>
        </w:tc>
      </w:tr>
      <w:tr>
        <w:tc>
          <w:tcPr>
            <w:tcW w:type="dxa" w:w="1999"/>
            <w:shd w:fill="F3F5F7"/>
            <w:tcMar>
              <w:top w:w="90" w:type="dxa"/>
              <w:start w:w="100" w:type="dxa"/>
              <w:bottom w:w="90" w:type="dxa"/>
              <w:end w:w="100" w:type="dxa"/>
            </w:tcMar>
            <w:vAlign w:val="top"/>
          </w:tcPr>
          <w:p>
            <w:pPr>
              <w:spacing w:after="0" w:line="240" w:lineRule="auto"/>
            </w:pPr>
            <w:r>
              <w:rPr>
                <w:sz w:val="12"/>
              </w:rPr>
              <w:t>first_qualifying_order_date</w:t>
            </w:r>
          </w:p>
        </w:tc>
        <w:tc>
          <w:tcPr>
            <w:tcW w:type="dxa" w:w="1999"/>
            <w:shd w:fill="F3F5F7"/>
            <w:tcMar>
              <w:top w:w="90" w:type="dxa"/>
              <w:start w:w="100" w:type="dxa"/>
              <w:bottom w:w="90" w:type="dxa"/>
              <w:end w:w="100" w:type="dxa"/>
            </w:tcMar>
            <w:vAlign w:val="top"/>
          </w:tcPr>
          <w:p>
            <w:pPr>
              <w:spacing w:after="0" w:line="240" w:lineRule="auto"/>
            </w:pPr>
            <w:r>
              <w:rPr>
                <w:sz w:val="12"/>
              </w:rPr>
              <w:t>Earliest eligible order in complete observable history</w:t>
            </w:r>
          </w:p>
        </w:tc>
        <w:tc>
          <w:tcPr>
            <w:tcW w:type="dxa" w:w="1999"/>
            <w:shd w:fill="F3F5F7"/>
            <w:tcMar>
              <w:top w:w="90" w:type="dxa"/>
              <w:start w:w="100" w:type="dxa"/>
              <w:bottom w:w="90" w:type="dxa"/>
              <w:end w:w="100" w:type="dxa"/>
            </w:tcMar>
            <w:vAlign w:val="top"/>
          </w:tcPr>
          <w:p>
            <w:pPr>
              <w:spacing w:after="0" w:line="240" w:lineRule="auto"/>
            </w:pPr>
            <w:r>
              <w:rPr>
                <w:sz w:val="12"/>
              </w:rPr>
              <w:t>date e.g. 2024-02-10</w:t>
            </w:r>
          </w:p>
        </w:tc>
        <w:tc>
          <w:tcPr>
            <w:tcW w:type="dxa" w:w="1999"/>
            <w:shd w:fill="F3F5F7"/>
            <w:tcMar>
              <w:top w:w="90" w:type="dxa"/>
              <w:start w:w="100" w:type="dxa"/>
              <w:bottom w:w="90" w:type="dxa"/>
              <w:end w:w="100" w:type="dxa"/>
            </w:tcMar>
            <w:vAlign w:val="top"/>
          </w:tcPr>
          <w:p>
            <w:pPr>
              <w:spacing w:after="0" w:line="240" w:lineRule="auto"/>
            </w:pPr>
            <w:r>
              <w:rPr>
                <w:sz w:val="12"/>
              </w:rPr>
              <w:t>Cohort anchor; source: Derived from transactions; Required for cohort analysis</w:t>
            </w:r>
          </w:p>
        </w:tc>
        <w:tc>
          <w:tcPr>
            <w:tcW w:type="dxa" w:w="1999"/>
            <w:shd w:fill="F3F5F7"/>
            <w:tcMar>
              <w:top w:w="90" w:type="dxa"/>
              <w:start w:w="100" w:type="dxa"/>
              <w:bottom w:w="90" w:type="dxa"/>
              <w:end w:w="100" w:type="dxa"/>
            </w:tcMar>
            <w:vAlign w:val="top"/>
          </w:tcPr>
          <w:p>
            <w:pPr>
              <w:spacing w:after="0" w:line="240" w:lineRule="auto"/>
            </w:pPr>
            <w:r>
              <w:rPr>
                <w:sz w:val="12"/>
              </w:rPr>
              <w:t>Quality: History start left truncation qualifying order rules Privacy: Derived personal behavior</w:t>
            </w:r>
          </w:p>
        </w:tc>
      </w:tr>
      <w:tr>
        <w:tc>
          <w:tcPr>
            <w:tcW w:type="dxa" w:w="1999"/>
            <w:tcMar>
              <w:top w:w="90" w:type="dxa"/>
              <w:start w:w="100" w:type="dxa"/>
              <w:bottom w:w="90" w:type="dxa"/>
              <w:end w:w="100" w:type="dxa"/>
            </w:tcMar>
            <w:vAlign w:val="top"/>
          </w:tcPr>
          <w:p>
            <w:pPr>
              <w:spacing w:after="0" w:line="240" w:lineRule="auto"/>
            </w:pPr>
            <w:r>
              <w:rPr>
                <w:sz w:val="12"/>
              </w:rPr>
              <w:t>acquisition_cohort</w:t>
            </w:r>
          </w:p>
        </w:tc>
        <w:tc>
          <w:tcPr>
            <w:tcW w:type="dxa" w:w="1999"/>
            <w:tcMar>
              <w:top w:w="90" w:type="dxa"/>
              <w:start w:w="100" w:type="dxa"/>
              <w:bottom w:w="90" w:type="dxa"/>
              <w:end w:w="100" w:type="dxa"/>
            </w:tcMar>
            <w:vAlign w:val="top"/>
          </w:tcPr>
          <w:p>
            <w:pPr>
              <w:spacing w:after="0" w:line="240" w:lineRule="auto"/>
            </w:pPr>
            <w:r>
              <w:rPr>
                <w:sz w:val="12"/>
              </w:rPr>
              <w:t>Calendar cohort of first qualifying order</w:t>
            </w:r>
          </w:p>
        </w:tc>
        <w:tc>
          <w:tcPr>
            <w:tcW w:type="dxa" w:w="1999"/>
            <w:tcMar>
              <w:top w:w="90" w:type="dxa"/>
              <w:start w:w="100" w:type="dxa"/>
              <w:bottom w:w="90" w:type="dxa"/>
              <w:end w:w="100" w:type="dxa"/>
            </w:tcMar>
            <w:vAlign w:val="top"/>
          </w:tcPr>
          <w:p>
            <w:pPr>
              <w:spacing w:after="0" w:line="240" w:lineRule="auto"/>
            </w:pPr>
            <w:r>
              <w:rPr>
                <w:sz w:val="12"/>
              </w:rPr>
              <w:t>period e.g. 2024-Q1</w:t>
            </w:r>
          </w:p>
        </w:tc>
        <w:tc>
          <w:tcPr>
            <w:tcW w:type="dxa" w:w="1999"/>
            <w:tcMar>
              <w:top w:w="90" w:type="dxa"/>
              <w:start w:w="100" w:type="dxa"/>
              <w:bottom w:w="90" w:type="dxa"/>
              <w:end w:w="100" w:type="dxa"/>
            </w:tcMar>
            <w:vAlign w:val="top"/>
          </w:tcPr>
          <w:p>
            <w:pPr>
              <w:spacing w:after="0" w:line="240" w:lineRule="auto"/>
            </w:pPr>
            <w:r>
              <w:rPr>
                <w:sz w:val="12"/>
              </w:rPr>
              <w:t>Stratification; source: Derived from transactions; Required for cohort analysis</w:t>
            </w:r>
          </w:p>
        </w:tc>
        <w:tc>
          <w:tcPr>
            <w:tcW w:type="dxa" w:w="1999"/>
            <w:tcMar>
              <w:top w:w="90" w:type="dxa"/>
              <w:start w:w="100" w:type="dxa"/>
              <w:bottom w:w="90" w:type="dxa"/>
              <w:end w:w="100" w:type="dxa"/>
            </w:tcMar>
            <w:vAlign w:val="top"/>
          </w:tcPr>
          <w:p>
            <w:pPr>
              <w:spacing w:after="0" w:line="240" w:lineRule="auto"/>
            </w:pPr>
            <w:r>
              <w:rPr>
                <w:sz w:val="12"/>
              </w:rPr>
              <w:t>Quality: Define month/quarter; report group size and maturity Privacy: Suppress small cohorts</w:t>
            </w:r>
          </w:p>
        </w:tc>
      </w:tr>
      <w:tr>
        <w:tc>
          <w:tcPr>
            <w:tcW w:type="dxa" w:w="1999"/>
            <w:shd w:fill="F3F5F7"/>
            <w:tcMar>
              <w:top w:w="90" w:type="dxa"/>
              <w:start w:w="100" w:type="dxa"/>
              <w:bottom w:w="90" w:type="dxa"/>
              <w:end w:w="100" w:type="dxa"/>
            </w:tcMar>
            <w:vAlign w:val="top"/>
          </w:tcPr>
          <w:p>
            <w:pPr>
              <w:spacing w:after="0" w:line="240" w:lineRule="auto"/>
            </w:pPr>
            <w:r>
              <w:rPr>
                <w:sz w:val="12"/>
              </w:rPr>
              <w:t>order_count_90d</w:t>
            </w:r>
          </w:p>
        </w:tc>
        <w:tc>
          <w:tcPr>
            <w:tcW w:type="dxa" w:w="1999"/>
            <w:shd w:fill="F3F5F7"/>
            <w:tcMar>
              <w:top w:w="90" w:type="dxa"/>
              <w:start w:w="100" w:type="dxa"/>
              <w:bottom w:w="90" w:type="dxa"/>
              <w:end w:w="100" w:type="dxa"/>
            </w:tcMar>
            <w:vAlign w:val="top"/>
          </w:tcPr>
          <w:p>
            <w:pPr>
              <w:spacing w:after="0" w:line="240" w:lineRule="auto"/>
            </w:pPr>
            <w:r>
              <w:rPr>
                <w:sz w:val="12"/>
              </w:rPr>
              <w:t>Qualifying count in lookback at cutoff</w:t>
            </w:r>
          </w:p>
        </w:tc>
        <w:tc>
          <w:tcPr>
            <w:tcW w:type="dxa" w:w="1999"/>
            <w:shd w:fill="F3F5F7"/>
            <w:tcMar>
              <w:top w:w="90" w:type="dxa"/>
              <w:start w:w="100" w:type="dxa"/>
              <w:bottom w:w="90" w:type="dxa"/>
              <w:end w:w="100" w:type="dxa"/>
            </w:tcMar>
            <w:vAlign w:val="top"/>
          </w:tcPr>
          <w:p>
            <w:pPr>
              <w:spacing w:after="0" w:line="240" w:lineRule="auto"/>
            </w:pPr>
            <w:r>
              <w:rPr>
                <w:sz w:val="12"/>
              </w:rPr>
              <w:t>integer e.g. 2</w:t>
            </w:r>
          </w:p>
        </w:tc>
        <w:tc>
          <w:tcPr>
            <w:tcW w:type="dxa" w:w="1999"/>
            <w:shd w:fill="F3F5F7"/>
            <w:tcMar>
              <w:top w:w="90" w:type="dxa"/>
              <w:start w:w="100" w:type="dxa"/>
              <w:bottom w:w="90" w:type="dxa"/>
              <w:end w:w="100" w:type="dxa"/>
            </w:tcMar>
            <w:vAlign w:val="top"/>
          </w:tcPr>
          <w:p>
            <w:pPr>
              <w:spacing w:after="0" w:line="240" w:lineRule="auto"/>
            </w:pPr>
            <w:r>
              <w:rPr>
                <w:sz w:val="12"/>
              </w:rPr>
              <w:t>Derived feature; source: Transactions before cutoff; Optional</w:t>
            </w:r>
          </w:p>
        </w:tc>
        <w:tc>
          <w:tcPr>
            <w:tcW w:type="dxa" w:w="1999"/>
            <w:shd w:fill="F3F5F7"/>
            <w:tcMar>
              <w:top w:w="90" w:type="dxa"/>
              <w:start w:w="100" w:type="dxa"/>
              <w:bottom w:w="90" w:type="dxa"/>
              <w:end w:w="100" w:type="dxa"/>
            </w:tcMar>
            <w:vAlign w:val="top"/>
          </w:tcPr>
          <w:p>
            <w:pPr>
              <w:spacing w:after="0" w:line="240" w:lineRule="auto"/>
            </w:pPr>
            <w:r>
              <w:rPr>
                <w:sz w:val="12"/>
              </w:rPr>
              <w:t>Quality: Window boundaries event timing no post-cutoff events Privacy: Derived personal behavior</w:t>
            </w:r>
          </w:p>
        </w:tc>
      </w:tr>
      <w:tr>
        <w:tc>
          <w:tcPr>
            <w:tcW w:type="dxa" w:w="1999"/>
            <w:tcMar>
              <w:top w:w="90" w:type="dxa"/>
              <w:start w:w="100" w:type="dxa"/>
              <w:bottom w:w="90" w:type="dxa"/>
              <w:end w:w="100" w:type="dxa"/>
            </w:tcMar>
            <w:vAlign w:val="top"/>
          </w:tcPr>
          <w:p>
            <w:pPr>
              <w:spacing w:after="0" w:line="240" w:lineRule="auto"/>
            </w:pPr>
            <w:r>
              <w:rPr>
                <w:sz w:val="12"/>
              </w:rPr>
              <w:t>recency_days</w:t>
            </w:r>
          </w:p>
        </w:tc>
        <w:tc>
          <w:tcPr>
            <w:tcW w:type="dxa" w:w="1999"/>
            <w:tcMar>
              <w:top w:w="90" w:type="dxa"/>
              <w:start w:w="100" w:type="dxa"/>
              <w:bottom w:w="90" w:type="dxa"/>
              <w:end w:w="100" w:type="dxa"/>
            </w:tcMar>
            <w:vAlign w:val="top"/>
          </w:tcPr>
          <w:p>
            <w:pPr>
              <w:spacing w:after="0" w:line="240" w:lineRule="auto"/>
            </w:pPr>
            <w:r>
              <w:rPr>
                <w:sz w:val="12"/>
              </w:rPr>
              <w:t>Elapsed days since prior purchase at cutoff</w:t>
            </w:r>
          </w:p>
        </w:tc>
        <w:tc>
          <w:tcPr>
            <w:tcW w:type="dxa" w:w="1999"/>
            <w:tcMar>
              <w:top w:w="90" w:type="dxa"/>
              <w:start w:w="100" w:type="dxa"/>
              <w:bottom w:w="90" w:type="dxa"/>
              <w:end w:w="100" w:type="dxa"/>
            </w:tcMar>
            <w:vAlign w:val="top"/>
          </w:tcPr>
          <w:p>
            <w:pPr>
              <w:spacing w:after="0" w:line="240" w:lineRule="auto"/>
            </w:pPr>
            <w:r>
              <w:rPr>
                <w:sz w:val="12"/>
              </w:rPr>
              <w:t>integer e.g. 30</w:t>
            </w:r>
          </w:p>
        </w:tc>
        <w:tc>
          <w:tcPr>
            <w:tcW w:type="dxa" w:w="1999"/>
            <w:tcMar>
              <w:top w:w="90" w:type="dxa"/>
              <w:start w:w="100" w:type="dxa"/>
              <w:bottom w:w="90" w:type="dxa"/>
              <w:end w:w="100" w:type="dxa"/>
            </w:tcMar>
            <w:vAlign w:val="top"/>
          </w:tcPr>
          <w:p>
            <w:pPr>
              <w:spacing w:after="0" w:line="240" w:lineRule="auto"/>
            </w:pPr>
            <w:r>
              <w:rPr>
                <w:sz w:val="12"/>
              </w:rPr>
              <w:t>Derived feature; source: Transactions before cutoff; Required if RFM</w:t>
            </w:r>
          </w:p>
        </w:tc>
        <w:tc>
          <w:tcPr>
            <w:tcW w:type="dxa" w:w="1999"/>
            <w:tcMar>
              <w:top w:w="90" w:type="dxa"/>
              <w:start w:w="100" w:type="dxa"/>
              <w:bottom w:w="90" w:type="dxa"/>
              <w:end w:w="100" w:type="dxa"/>
            </w:tcMar>
            <w:vAlign w:val="top"/>
          </w:tcPr>
          <w:p>
            <w:pPr>
              <w:spacing w:after="0" w:line="240" w:lineRule="auto"/>
            </w:pPr>
            <w:r>
              <w:rPr>
                <w:sz w:val="12"/>
              </w:rPr>
              <w:t>Quality: Nonnegative; compute only from cutoff-safe rows Privacy: Derived personal behavior</w:t>
            </w:r>
          </w:p>
        </w:tc>
      </w:tr>
      <w:tr>
        <w:tc>
          <w:tcPr>
            <w:tcW w:type="dxa" w:w="1999"/>
            <w:shd w:fill="F3F5F7"/>
            <w:tcMar>
              <w:top w:w="90" w:type="dxa"/>
              <w:start w:w="100" w:type="dxa"/>
              <w:bottom w:w="90" w:type="dxa"/>
              <w:end w:w="100" w:type="dxa"/>
            </w:tcMar>
            <w:vAlign w:val="top"/>
          </w:tcPr>
          <w:p>
            <w:pPr>
              <w:spacing w:after="0" w:line="240" w:lineRule="auto"/>
            </w:pPr>
            <w:r>
              <w:rPr>
                <w:sz w:val="12"/>
              </w:rPr>
              <w:t>frequency</w:t>
            </w:r>
          </w:p>
        </w:tc>
        <w:tc>
          <w:tcPr>
            <w:tcW w:type="dxa" w:w="1999"/>
            <w:shd w:fill="F3F5F7"/>
            <w:tcMar>
              <w:top w:w="90" w:type="dxa"/>
              <w:start w:w="100" w:type="dxa"/>
              <w:bottom w:w="90" w:type="dxa"/>
              <w:end w:w="100" w:type="dxa"/>
            </w:tcMar>
            <w:vAlign w:val="top"/>
          </w:tcPr>
          <w:p>
            <w:pPr>
              <w:spacing w:after="0" w:line="240" w:lineRule="auto"/>
            </w:pPr>
            <w:r>
              <w:rPr>
                <w:sz w:val="12"/>
              </w:rPr>
              <w:t>Qualifying purchase count in defined lookback</w:t>
            </w:r>
          </w:p>
        </w:tc>
        <w:tc>
          <w:tcPr>
            <w:tcW w:type="dxa" w:w="1999"/>
            <w:shd w:fill="F3F5F7"/>
            <w:tcMar>
              <w:top w:w="90" w:type="dxa"/>
              <w:start w:w="100" w:type="dxa"/>
              <w:bottom w:w="90" w:type="dxa"/>
              <w:end w:w="100" w:type="dxa"/>
            </w:tcMar>
            <w:vAlign w:val="top"/>
          </w:tcPr>
          <w:p>
            <w:pPr>
              <w:spacing w:after="0" w:line="240" w:lineRule="auto"/>
            </w:pPr>
            <w:r>
              <w:rPr>
                <w:sz w:val="12"/>
              </w:rPr>
              <w:t>integer e.g. 4</w:t>
            </w:r>
          </w:p>
        </w:tc>
        <w:tc>
          <w:tcPr>
            <w:tcW w:type="dxa" w:w="1999"/>
            <w:shd w:fill="F3F5F7"/>
            <w:tcMar>
              <w:top w:w="90" w:type="dxa"/>
              <w:start w:w="100" w:type="dxa"/>
              <w:bottom w:w="90" w:type="dxa"/>
              <w:end w:w="100" w:type="dxa"/>
            </w:tcMar>
            <w:vAlign w:val="top"/>
          </w:tcPr>
          <w:p>
            <w:pPr>
              <w:spacing w:after="0" w:line="240" w:lineRule="auto"/>
            </w:pPr>
            <w:r>
              <w:rPr>
                <w:sz w:val="12"/>
              </w:rPr>
              <w:t>Derived feature; source: Transactions before cutoff; Required if RFM</w:t>
            </w:r>
          </w:p>
        </w:tc>
        <w:tc>
          <w:tcPr>
            <w:tcW w:type="dxa" w:w="1999"/>
            <w:shd w:fill="F3F5F7"/>
            <w:tcMar>
              <w:top w:w="90" w:type="dxa"/>
              <w:start w:w="100" w:type="dxa"/>
              <w:bottom w:w="90" w:type="dxa"/>
              <w:end w:w="100" w:type="dxa"/>
            </w:tcMar>
            <w:vAlign w:val="top"/>
          </w:tcPr>
          <w:p>
            <w:pPr>
              <w:spacing w:after="0" w:line="240" w:lineRule="auto"/>
            </w:pPr>
            <w:r>
              <w:rPr>
                <w:sz w:val="12"/>
              </w:rPr>
              <w:t>Quality: Distinct order definition consistent observation duration Privacy: Derived personal behavior</w:t>
            </w:r>
          </w:p>
        </w:tc>
      </w:tr>
      <w:tr>
        <w:tc>
          <w:tcPr>
            <w:tcW w:type="dxa" w:w="1999"/>
            <w:tcMar>
              <w:top w:w="90" w:type="dxa"/>
              <w:start w:w="100" w:type="dxa"/>
              <w:bottom w:w="90" w:type="dxa"/>
              <w:end w:w="100" w:type="dxa"/>
            </w:tcMar>
            <w:vAlign w:val="top"/>
          </w:tcPr>
          <w:p>
            <w:pPr>
              <w:spacing w:after="0" w:line="240" w:lineRule="auto"/>
            </w:pPr>
            <w:r>
              <w:rPr>
                <w:sz w:val="12"/>
              </w:rPr>
              <w:t>monetary_value</w:t>
            </w:r>
          </w:p>
        </w:tc>
        <w:tc>
          <w:tcPr>
            <w:tcW w:type="dxa" w:w="1999"/>
            <w:tcMar>
              <w:top w:w="90" w:type="dxa"/>
              <w:start w:w="100" w:type="dxa"/>
              <w:bottom w:w="90" w:type="dxa"/>
              <w:end w:w="100" w:type="dxa"/>
            </w:tcMar>
            <w:vAlign w:val="top"/>
          </w:tcPr>
          <w:p>
            <w:pPr>
              <w:spacing w:after="0" w:line="240" w:lineRule="auto"/>
            </w:pPr>
            <w:r>
              <w:rPr>
                <w:sz w:val="12"/>
              </w:rPr>
              <w:t>Net sales in fixed pre-cutoff lookback</w:t>
            </w:r>
          </w:p>
        </w:tc>
        <w:tc>
          <w:tcPr>
            <w:tcW w:type="dxa" w:w="1999"/>
            <w:tcMar>
              <w:top w:w="90" w:type="dxa"/>
              <w:start w:w="100" w:type="dxa"/>
              <w:bottom w:w="90" w:type="dxa"/>
              <w:end w:w="100" w:type="dxa"/>
            </w:tcMar>
            <w:vAlign w:val="top"/>
          </w:tcPr>
          <w:p>
            <w:pPr>
              <w:spacing w:after="0" w:line="240" w:lineRule="auto"/>
            </w:pPr>
            <w:r>
              <w:rPr>
                <w:sz w:val="12"/>
              </w:rPr>
              <w:t>currency e.g. 120.00</w:t>
            </w:r>
          </w:p>
        </w:tc>
        <w:tc>
          <w:tcPr>
            <w:tcW w:type="dxa" w:w="1999"/>
            <w:tcMar>
              <w:top w:w="90" w:type="dxa"/>
              <w:start w:w="100" w:type="dxa"/>
              <w:bottom w:w="90" w:type="dxa"/>
              <w:end w:w="100" w:type="dxa"/>
            </w:tcMar>
            <w:vAlign w:val="top"/>
          </w:tcPr>
          <w:p>
            <w:pPr>
              <w:spacing w:after="0" w:line="240" w:lineRule="auto"/>
            </w:pPr>
            <w:r>
              <w:rPr>
                <w:sz w:val="12"/>
              </w:rPr>
              <w:t>Derived feature; source: Transactions before cutoff; Required if RFM</w:t>
            </w:r>
          </w:p>
        </w:tc>
        <w:tc>
          <w:tcPr>
            <w:tcW w:type="dxa" w:w="1999"/>
            <w:tcMar>
              <w:top w:w="90" w:type="dxa"/>
              <w:start w:w="100" w:type="dxa"/>
              <w:bottom w:w="90" w:type="dxa"/>
              <w:end w:w="100" w:type="dxa"/>
            </w:tcMar>
            <w:vAlign w:val="top"/>
          </w:tcPr>
          <w:p>
            <w:pPr>
              <w:spacing w:after="0" w:line="240" w:lineRule="auto"/>
            </w:pPr>
            <w:r>
              <w:rPr>
                <w:sz w:val="12"/>
              </w:rPr>
              <w:t>Quality: FX/refund/accounting rules and cutoff safety Privacy: Derived personal behavior</w:t>
            </w:r>
          </w:p>
        </w:tc>
      </w:tr>
      <w:tr>
        <w:tc>
          <w:tcPr>
            <w:tcW w:type="dxa" w:w="1999"/>
            <w:shd w:fill="F3F5F7"/>
            <w:tcMar>
              <w:top w:w="90" w:type="dxa"/>
              <w:start w:w="100" w:type="dxa"/>
              <w:bottom w:w="90" w:type="dxa"/>
              <w:end w:w="100" w:type="dxa"/>
            </w:tcMar>
            <w:vAlign w:val="top"/>
          </w:tcPr>
          <w:p>
            <w:pPr>
              <w:spacing w:after="0" w:line="240" w:lineRule="auto"/>
            </w:pPr>
            <w:r>
              <w:rPr>
                <w:sz w:val="12"/>
              </w:rPr>
              <w:t>category_breadth</w:t>
            </w:r>
          </w:p>
        </w:tc>
        <w:tc>
          <w:tcPr>
            <w:tcW w:type="dxa" w:w="1999"/>
            <w:shd w:fill="F3F5F7"/>
            <w:tcMar>
              <w:top w:w="90" w:type="dxa"/>
              <w:start w:w="100" w:type="dxa"/>
              <w:bottom w:w="90" w:type="dxa"/>
              <w:end w:w="100" w:type="dxa"/>
            </w:tcMar>
            <w:vAlign w:val="top"/>
          </w:tcPr>
          <w:p>
            <w:pPr>
              <w:spacing w:after="0" w:line="240" w:lineRule="auto"/>
            </w:pPr>
            <w:r>
              <w:rPr>
                <w:sz w:val="12"/>
              </w:rPr>
              <w:t>Distinct approved categories in lookback</w:t>
            </w:r>
          </w:p>
        </w:tc>
        <w:tc>
          <w:tcPr>
            <w:tcW w:type="dxa" w:w="1999"/>
            <w:shd w:fill="F3F5F7"/>
            <w:tcMar>
              <w:top w:w="90" w:type="dxa"/>
              <w:start w:w="100" w:type="dxa"/>
              <w:bottom w:w="90" w:type="dxa"/>
              <w:end w:w="100" w:type="dxa"/>
            </w:tcMar>
            <w:vAlign w:val="top"/>
          </w:tcPr>
          <w:p>
            <w:pPr>
              <w:spacing w:after="0" w:line="240" w:lineRule="auto"/>
            </w:pPr>
            <w:r>
              <w:rPr>
                <w:sz w:val="12"/>
              </w:rPr>
              <w:t>count e.g. 2</w:t>
            </w:r>
          </w:p>
        </w:tc>
        <w:tc>
          <w:tcPr>
            <w:tcW w:type="dxa" w:w="1999"/>
            <w:shd w:fill="F3F5F7"/>
            <w:tcMar>
              <w:top w:w="90" w:type="dxa"/>
              <w:start w:w="100" w:type="dxa"/>
              <w:bottom w:w="90" w:type="dxa"/>
              <w:end w:w="100" w:type="dxa"/>
            </w:tcMar>
            <w:vAlign w:val="top"/>
          </w:tcPr>
          <w:p>
            <w:pPr>
              <w:spacing w:after="0" w:line="240" w:lineRule="auto"/>
            </w:pPr>
            <w:r>
              <w:rPr>
                <w:sz w:val="12"/>
              </w:rPr>
              <w:t>Derived feature; source: Transactions before cutoff; Optional</w:t>
            </w:r>
          </w:p>
        </w:tc>
        <w:tc>
          <w:tcPr>
            <w:tcW w:type="dxa" w:w="1999"/>
            <w:shd w:fill="F3F5F7"/>
            <w:tcMar>
              <w:top w:w="90" w:type="dxa"/>
              <w:start w:w="100" w:type="dxa"/>
              <w:bottom w:w="90" w:type="dxa"/>
              <w:end w:w="100" w:type="dxa"/>
            </w:tcMar>
            <w:vAlign w:val="top"/>
          </w:tcPr>
          <w:p>
            <w:pPr>
              <w:spacing w:after="0" w:line="240" w:lineRule="auto"/>
            </w:pPr>
            <w:r>
              <w:rPr>
                <w:sz w:val="12"/>
              </w:rPr>
              <w:t>Quality: Stable taxonomy and cutoff-safe calculation Privacy: Derived personal behavior</w:t>
            </w:r>
          </w:p>
        </w:tc>
      </w:tr>
      <w:tr>
        <w:tc>
          <w:tcPr>
            <w:tcW w:type="dxa" w:w="1999"/>
            <w:tcMar>
              <w:top w:w="90" w:type="dxa"/>
              <w:start w:w="100" w:type="dxa"/>
              <w:bottom w:w="90" w:type="dxa"/>
              <w:end w:w="100" w:type="dxa"/>
            </w:tcMar>
            <w:vAlign w:val="top"/>
          </w:tcPr>
          <w:p>
            <w:pPr>
              <w:spacing w:after="0" w:line="240" w:lineRule="auto"/>
            </w:pPr>
            <w:r>
              <w:rPr>
                <w:sz w:val="12"/>
              </w:rPr>
              <w:t>days_to_second_order</w:t>
            </w:r>
          </w:p>
        </w:tc>
        <w:tc>
          <w:tcPr>
            <w:tcW w:type="dxa" w:w="1999"/>
            <w:tcMar>
              <w:top w:w="90" w:type="dxa"/>
              <w:start w:w="100" w:type="dxa"/>
              <w:bottom w:w="90" w:type="dxa"/>
              <w:end w:w="100" w:type="dxa"/>
            </w:tcMar>
            <w:vAlign w:val="top"/>
          </w:tcPr>
          <w:p>
            <w:pPr>
              <w:spacing w:after="0" w:line="240" w:lineRule="auto"/>
            </w:pPr>
            <w:r>
              <w:rPr>
                <w:sz w:val="12"/>
              </w:rPr>
              <w:t>Elapsed days between first and second qualifying orders</w:t>
            </w:r>
          </w:p>
        </w:tc>
        <w:tc>
          <w:tcPr>
            <w:tcW w:type="dxa" w:w="1999"/>
            <w:tcMar>
              <w:top w:w="90" w:type="dxa"/>
              <w:start w:w="100" w:type="dxa"/>
              <w:bottom w:w="90" w:type="dxa"/>
              <w:end w:w="100" w:type="dxa"/>
            </w:tcMar>
            <w:vAlign w:val="top"/>
          </w:tcPr>
          <w:p>
            <w:pPr>
              <w:spacing w:after="0" w:line="240" w:lineRule="auto"/>
            </w:pPr>
            <w:r>
              <w:rPr>
                <w:sz w:val="12"/>
              </w:rPr>
              <w:t>integer e.g. 35</w:t>
            </w:r>
          </w:p>
        </w:tc>
        <w:tc>
          <w:tcPr>
            <w:tcW w:type="dxa" w:w="1999"/>
            <w:tcMar>
              <w:top w:w="90" w:type="dxa"/>
              <w:start w:w="100" w:type="dxa"/>
              <w:bottom w:w="90" w:type="dxa"/>
              <w:end w:w="100" w:type="dxa"/>
            </w:tcMar>
            <w:vAlign w:val="top"/>
          </w:tcPr>
          <w:p>
            <w:pPr>
              <w:spacing w:after="0" w:line="240" w:lineRule="auto"/>
            </w:pPr>
            <w:r>
              <w:rPr>
                <w:sz w:val="12"/>
              </w:rPr>
              <w:t>Time-to-event outcome; source: Transactions and follow-up end; Optional</w:t>
            </w:r>
          </w:p>
        </w:tc>
        <w:tc>
          <w:tcPr>
            <w:tcW w:type="dxa" w:w="1999"/>
            <w:tcMar>
              <w:top w:w="90" w:type="dxa"/>
              <w:start w:w="100" w:type="dxa"/>
              <w:bottom w:w="90" w:type="dxa"/>
              <w:end w:w="100" w:type="dxa"/>
            </w:tcMar>
            <w:vAlign w:val="top"/>
          </w:tcPr>
          <w:p>
            <w:pPr>
              <w:spacing w:after="0" w:line="240" w:lineRule="auto"/>
            </w:pPr>
            <w:r>
              <w:rPr>
                <w:sz w:val="12"/>
              </w:rPr>
              <w:t>Quality: Right-censoring and event definition Privacy: Derived personal behavior</w:t>
            </w:r>
          </w:p>
        </w:tc>
      </w:tr>
      <w:tr>
        <w:tc>
          <w:tcPr>
            <w:tcW w:type="dxa" w:w="1999"/>
            <w:shd w:fill="F3F5F7"/>
            <w:tcMar>
              <w:top w:w="90" w:type="dxa"/>
              <w:start w:w="100" w:type="dxa"/>
              <w:bottom w:w="90" w:type="dxa"/>
              <w:end w:w="100" w:type="dxa"/>
            </w:tcMar>
            <w:vAlign w:val="top"/>
          </w:tcPr>
          <w:p>
            <w:pPr>
              <w:spacing w:after="0" w:line="240" w:lineRule="auto"/>
            </w:pPr>
            <w:r>
              <w:rPr>
                <w:sz w:val="12"/>
              </w:rPr>
              <w:t>repeat_90d</w:t>
            </w:r>
          </w:p>
        </w:tc>
        <w:tc>
          <w:tcPr>
            <w:tcW w:type="dxa" w:w="1999"/>
            <w:shd w:fill="F3F5F7"/>
            <w:tcMar>
              <w:top w:w="90" w:type="dxa"/>
              <w:start w:w="100" w:type="dxa"/>
              <w:bottom w:w="90" w:type="dxa"/>
              <w:end w:w="100" w:type="dxa"/>
            </w:tcMar>
            <w:vAlign w:val="top"/>
          </w:tcPr>
          <w:p>
            <w:pPr>
              <w:spacing w:after="0" w:line="240" w:lineRule="auto"/>
            </w:pPr>
            <w:r>
              <w:rPr>
                <w:sz w:val="12"/>
              </w:rPr>
              <w:t>Repeat flag within 90 days</w:t>
            </w:r>
          </w:p>
        </w:tc>
        <w:tc>
          <w:tcPr>
            <w:tcW w:type="dxa" w:w="1999"/>
            <w:shd w:fill="F3F5F7"/>
            <w:tcMar>
              <w:top w:w="90" w:type="dxa"/>
              <w:start w:w="100" w:type="dxa"/>
              <w:bottom w:w="90" w:type="dxa"/>
              <w:end w:w="100" w:type="dxa"/>
            </w:tcMar>
            <w:vAlign w:val="top"/>
          </w:tcPr>
          <w:p>
            <w:pPr>
              <w:spacing w:after="0" w:line="240" w:lineRule="auto"/>
            </w:pPr>
            <w:r>
              <w:rPr>
                <w:sz w:val="12"/>
              </w:rPr>
              <w:t>boolean e.g. false</w:t>
            </w:r>
          </w:p>
        </w:tc>
        <w:tc>
          <w:tcPr>
            <w:tcW w:type="dxa" w:w="1999"/>
            <w:shd w:fill="F3F5F7"/>
            <w:tcMar>
              <w:top w:w="90" w:type="dxa"/>
              <w:start w:w="100" w:type="dxa"/>
              <w:bottom w:w="90" w:type="dxa"/>
              <w:end w:w="100" w:type="dxa"/>
            </w:tcMar>
            <w:vAlign w:val="top"/>
          </w:tcPr>
          <w:p>
            <w:pPr>
              <w:spacing w:after="0" w:line="240" w:lineRule="auto"/>
            </w:pPr>
            <w:r>
              <w:rPr>
                <w:sz w:val="12"/>
              </w:rPr>
              <w:t>Outcome; source: Derived transactions; Optional proposed horizon</w:t>
            </w:r>
          </w:p>
        </w:tc>
        <w:tc>
          <w:tcPr>
            <w:tcW w:type="dxa" w:w="1999"/>
            <w:shd w:fill="F3F5F7"/>
            <w:tcMar>
              <w:top w:w="90" w:type="dxa"/>
              <w:start w:w="100" w:type="dxa"/>
              <w:bottom w:w="90" w:type="dxa"/>
              <w:end w:w="100" w:type="dxa"/>
            </w:tcMar>
            <w:vAlign w:val="top"/>
          </w:tcPr>
          <w:p>
            <w:pPr>
              <w:spacing w:after="0" w:line="240" w:lineRule="auto"/>
            </w:pPr>
            <w:r>
              <w:rPr>
                <w:sz w:val="12"/>
              </w:rPr>
              <w:t>Quality: Require complete 90-day follow-up; define event Privacy: Derived personal behavior</w:t>
            </w:r>
          </w:p>
        </w:tc>
      </w:tr>
      <w:tr>
        <w:tc>
          <w:tcPr>
            <w:tcW w:type="dxa" w:w="1999"/>
            <w:tcMar>
              <w:top w:w="90" w:type="dxa"/>
              <w:start w:w="100" w:type="dxa"/>
              <w:bottom w:w="90" w:type="dxa"/>
              <w:end w:w="100" w:type="dxa"/>
            </w:tcMar>
            <w:vAlign w:val="top"/>
          </w:tcPr>
          <w:p>
            <w:pPr>
              <w:spacing w:after="0" w:line="240" w:lineRule="auto"/>
            </w:pPr>
            <w:r>
              <w:rPr>
                <w:sz w:val="12"/>
              </w:rPr>
              <w:t>repeat_180d</w:t>
            </w:r>
          </w:p>
        </w:tc>
        <w:tc>
          <w:tcPr>
            <w:tcW w:type="dxa" w:w="1999"/>
            <w:tcMar>
              <w:top w:w="90" w:type="dxa"/>
              <w:start w:w="100" w:type="dxa"/>
              <w:bottom w:w="90" w:type="dxa"/>
              <w:end w:w="100" w:type="dxa"/>
            </w:tcMar>
            <w:vAlign w:val="top"/>
          </w:tcPr>
          <w:p>
            <w:pPr>
              <w:spacing w:after="0" w:line="240" w:lineRule="auto"/>
            </w:pPr>
            <w:r>
              <w:rPr>
                <w:sz w:val="12"/>
              </w:rPr>
              <w:t>Repeat flag within 180 days</w:t>
            </w:r>
          </w:p>
        </w:tc>
        <w:tc>
          <w:tcPr>
            <w:tcW w:type="dxa" w:w="1999"/>
            <w:tcMar>
              <w:top w:w="90" w:type="dxa"/>
              <w:start w:w="100" w:type="dxa"/>
              <w:bottom w:w="90" w:type="dxa"/>
              <w:end w:w="100" w:type="dxa"/>
            </w:tcMar>
            <w:vAlign w:val="top"/>
          </w:tcPr>
          <w:p>
            <w:pPr>
              <w:spacing w:after="0" w:line="240" w:lineRule="auto"/>
            </w:pPr>
            <w:r>
              <w:rPr>
                <w:sz w:val="12"/>
              </w:rPr>
              <w:t>boolean e.g. true</w:t>
            </w:r>
          </w:p>
        </w:tc>
        <w:tc>
          <w:tcPr>
            <w:tcW w:type="dxa" w:w="1999"/>
            <w:tcMar>
              <w:top w:w="90" w:type="dxa"/>
              <w:start w:w="100" w:type="dxa"/>
              <w:bottom w:w="90" w:type="dxa"/>
              <w:end w:w="100" w:type="dxa"/>
            </w:tcMar>
            <w:vAlign w:val="top"/>
          </w:tcPr>
          <w:p>
            <w:pPr>
              <w:spacing w:after="0" w:line="240" w:lineRule="auto"/>
            </w:pPr>
            <w:r>
              <w:rPr>
                <w:sz w:val="12"/>
              </w:rPr>
              <w:t>Outcome; source: Derived transactions; Optional proposed horizon</w:t>
            </w:r>
          </w:p>
        </w:tc>
        <w:tc>
          <w:tcPr>
            <w:tcW w:type="dxa" w:w="1999"/>
            <w:tcMar>
              <w:top w:w="90" w:type="dxa"/>
              <w:start w:w="100" w:type="dxa"/>
              <w:bottom w:w="90" w:type="dxa"/>
              <w:end w:w="100" w:type="dxa"/>
            </w:tcMar>
            <w:vAlign w:val="top"/>
          </w:tcPr>
          <w:p>
            <w:pPr>
              <w:spacing w:after="0" w:line="240" w:lineRule="auto"/>
            </w:pPr>
            <w:r>
              <w:rPr>
                <w:sz w:val="12"/>
              </w:rPr>
              <w:t>Quality: Require complete 180-day follow-up; define event Privacy: Derived personal behavior</w:t>
            </w:r>
          </w:p>
        </w:tc>
      </w:tr>
      <w:tr>
        <w:tc>
          <w:tcPr>
            <w:tcW w:type="dxa" w:w="1999"/>
            <w:shd w:fill="F3F5F7"/>
            <w:tcMar>
              <w:top w:w="90" w:type="dxa"/>
              <w:start w:w="100" w:type="dxa"/>
              <w:bottom w:w="90" w:type="dxa"/>
              <w:end w:w="100" w:type="dxa"/>
            </w:tcMar>
            <w:vAlign w:val="top"/>
          </w:tcPr>
          <w:p>
            <w:pPr>
              <w:spacing w:after="0" w:line="240" w:lineRule="auto"/>
            </w:pPr>
            <w:r>
              <w:rPr>
                <w:sz w:val="12"/>
              </w:rPr>
              <w:t>repeat_365d</w:t>
            </w:r>
          </w:p>
        </w:tc>
        <w:tc>
          <w:tcPr>
            <w:tcW w:type="dxa" w:w="1999"/>
            <w:shd w:fill="F3F5F7"/>
            <w:tcMar>
              <w:top w:w="90" w:type="dxa"/>
              <w:start w:w="100" w:type="dxa"/>
              <w:bottom w:w="90" w:type="dxa"/>
              <w:end w:w="100" w:type="dxa"/>
            </w:tcMar>
            <w:vAlign w:val="top"/>
          </w:tcPr>
          <w:p>
            <w:pPr>
              <w:spacing w:after="0" w:line="240" w:lineRule="auto"/>
            </w:pPr>
            <w:r>
              <w:rPr>
                <w:sz w:val="12"/>
              </w:rPr>
              <w:t>Repeat flag within 365 days</w:t>
            </w:r>
          </w:p>
        </w:tc>
        <w:tc>
          <w:tcPr>
            <w:tcW w:type="dxa" w:w="1999"/>
            <w:shd w:fill="F3F5F7"/>
            <w:tcMar>
              <w:top w:w="90" w:type="dxa"/>
              <w:start w:w="100" w:type="dxa"/>
              <w:bottom w:w="90" w:type="dxa"/>
              <w:end w:w="100" w:type="dxa"/>
            </w:tcMar>
            <w:vAlign w:val="top"/>
          </w:tcPr>
          <w:p>
            <w:pPr>
              <w:spacing w:after="0" w:line="240" w:lineRule="auto"/>
            </w:pPr>
            <w:r>
              <w:rPr>
                <w:sz w:val="12"/>
              </w:rPr>
              <w:t>boolean e.g. true</w:t>
            </w:r>
          </w:p>
        </w:tc>
        <w:tc>
          <w:tcPr>
            <w:tcW w:type="dxa" w:w="1999"/>
            <w:shd w:fill="F3F5F7"/>
            <w:tcMar>
              <w:top w:w="90" w:type="dxa"/>
              <w:start w:w="100" w:type="dxa"/>
              <w:bottom w:w="90" w:type="dxa"/>
              <w:end w:w="100" w:type="dxa"/>
            </w:tcMar>
            <w:vAlign w:val="top"/>
          </w:tcPr>
          <w:p>
            <w:pPr>
              <w:spacing w:after="0" w:line="240" w:lineRule="auto"/>
            </w:pPr>
            <w:r>
              <w:rPr>
                <w:sz w:val="12"/>
              </w:rPr>
              <w:t>Outcome; source: Derived transactions; Optional proposed horizon</w:t>
            </w:r>
          </w:p>
        </w:tc>
        <w:tc>
          <w:tcPr>
            <w:tcW w:type="dxa" w:w="1999"/>
            <w:shd w:fill="F3F5F7"/>
            <w:tcMar>
              <w:top w:w="90" w:type="dxa"/>
              <w:start w:w="100" w:type="dxa"/>
              <w:bottom w:w="90" w:type="dxa"/>
              <w:end w:w="100" w:type="dxa"/>
            </w:tcMar>
            <w:vAlign w:val="top"/>
          </w:tcPr>
          <w:p>
            <w:pPr>
              <w:spacing w:after="0" w:line="240" w:lineRule="auto"/>
            </w:pPr>
            <w:r>
              <w:rPr>
                <w:sz w:val="12"/>
              </w:rPr>
              <w:t>Quality: Require complete 365-day follow-up; define event Privacy: Derived personal behavior</w:t>
            </w:r>
          </w:p>
        </w:tc>
      </w:tr>
      <w:tr>
        <w:tc>
          <w:tcPr>
            <w:tcW w:type="dxa" w:w="1999"/>
            <w:tcMar>
              <w:top w:w="90" w:type="dxa"/>
              <w:start w:w="100" w:type="dxa"/>
              <w:bottom w:w="90" w:type="dxa"/>
              <w:end w:w="100" w:type="dxa"/>
            </w:tcMar>
            <w:vAlign w:val="top"/>
          </w:tcPr>
          <w:p>
            <w:pPr>
              <w:spacing w:after="0" w:line="240" w:lineRule="auto"/>
            </w:pPr>
            <w:r>
              <w:rPr>
                <w:sz w:val="12"/>
              </w:rPr>
              <w:t>campaign_assignment</w:t>
            </w:r>
          </w:p>
        </w:tc>
        <w:tc>
          <w:tcPr>
            <w:tcW w:type="dxa" w:w="1999"/>
            <w:tcMar>
              <w:top w:w="90" w:type="dxa"/>
              <w:start w:w="100" w:type="dxa"/>
              <w:bottom w:w="90" w:type="dxa"/>
              <w:end w:w="100" w:type="dxa"/>
            </w:tcMar>
            <w:vAlign w:val="top"/>
          </w:tcPr>
          <w:p>
            <w:pPr>
              <w:spacing w:after="0" w:line="240" w:lineRule="auto"/>
            </w:pPr>
            <w:r>
              <w:rPr>
                <w:sz w:val="12"/>
              </w:rPr>
              <w:t>Approved treatment/control assignment and timestamp</w:t>
            </w:r>
          </w:p>
        </w:tc>
        <w:tc>
          <w:tcPr>
            <w:tcW w:type="dxa" w:w="1999"/>
            <w:tcMar>
              <w:top w:w="90" w:type="dxa"/>
              <w:start w:w="100" w:type="dxa"/>
              <w:bottom w:w="90" w:type="dxa"/>
              <w:end w:w="100" w:type="dxa"/>
            </w:tcMar>
            <w:vAlign w:val="top"/>
          </w:tcPr>
          <w:p>
            <w:pPr>
              <w:spacing w:after="0" w:line="240" w:lineRule="auto"/>
            </w:pPr>
            <w:r>
              <w:rPr>
                <w:sz w:val="12"/>
              </w:rPr>
              <w:t>string/date e.g. treatment</w:t>
            </w:r>
          </w:p>
        </w:tc>
        <w:tc>
          <w:tcPr>
            <w:tcW w:type="dxa" w:w="1999"/>
            <w:tcMar>
              <w:top w:w="90" w:type="dxa"/>
              <w:start w:w="100" w:type="dxa"/>
              <w:bottom w:w="90" w:type="dxa"/>
              <w:end w:w="100" w:type="dxa"/>
            </w:tcMar>
            <w:vAlign w:val="top"/>
          </w:tcPr>
          <w:p>
            <w:pPr>
              <w:spacing w:after="0" w:line="240" w:lineRule="auto"/>
            </w:pPr>
            <w:r>
              <w:rPr>
                <w:sz w:val="12"/>
              </w:rPr>
              <w:t>Impact evaluation; source: Campaign platform; Optional</w:t>
            </w:r>
          </w:p>
        </w:tc>
        <w:tc>
          <w:tcPr>
            <w:tcW w:type="dxa" w:w="1999"/>
            <w:tcMar>
              <w:top w:w="90" w:type="dxa"/>
              <w:start w:w="100" w:type="dxa"/>
              <w:bottom w:w="90" w:type="dxa"/>
              <w:end w:w="100" w:type="dxa"/>
            </w:tcMar>
            <w:vAlign w:val="top"/>
          </w:tcPr>
          <w:p>
            <w:pPr>
              <w:spacing w:after="0" w:line="240" w:lineRule="auto"/>
            </w:pPr>
            <w:r>
              <w:rPr>
                <w:sz w:val="12"/>
              </w:rPr>
              <w:t>Quality: Validate randomization exposure delivery and contamination Privacy: Marketing permission and purpose limitation</w:t>
            </w:r>
          </w:p>
        </w:tc>
      </w:tr>
      <w:tr>
        <w:tc>
          <w:tcPr>
            <w:tcW w:type="dxa" w:w="1999"/>
            <w:shd w:fill="F3F5F7"/>
            <w:tcMar>
              <w:top w:w="90" w:type="dxa"/>
              <w:start w:w="100" w:type="dxa"/>
              <w:bottom w:w="90" w:type="dxa"/>
              <w:end w:w="100" w:type="dxa"/>
            </w:tcMar>
            <w:vAlign w:val="top"/>
          </w:tcPr>
          <w:p>
            <w:pPr>
              <w:spacing w:after="0" w:line="240" w:lineRule="auto"/>
            </w:pPr>
            <w:r>
              <w:rPr>
                <w:sz w:val="12"/>
              </w:rPr>
              <w:t>marketing_consent</w:t>
            </w:r>
          </w:p>
        </w:tc>
        <w:tc>
          <w:tcPr>
            <w:tcW w:type="dxa" w:w="1999"/>
            <w:shd w:fill="F3F5F7"/>
            <w:tcMar>
              <w:top w:w="90" w:type="dxa"/>
              <w:start w:w="100" w:type="dxa"/>
              <w:bottom w:w="90" w:type="dxa"/>
              <w:end w:w="100" w:type="dxa"/>
            </w:tcMar>
            <w:vAlign w:val="top"/>
          </w:tcPr>
          <w:p>
            <w:pPr>
              <w:spacing w:after="0" w:line="240" w:lineRule="auto"/>
            </w:pPr>
            <w:r>
              <w:rPr>
                <w:sz w:val="12"/>
              </w:rPr>
              <w:t>Current permission state for named channel</w:t>
            </w:r>
          </w:p>
        </w:tc>
        <w:tc>
          <w:tcPr>
            <w:tcW w:type="dxa" w:w="1999"/>
            <w:shd w:fill="F3F5F7"/>
            <w:tcMar>
              <w:top w:w="90" w:type="dxa"/>
              <w:start w:w="100" w:type="dxa"/>
              <w:bottom w:w="90" w:type="dxa"/>
              <w:end w:w="100" w:type="dxa"/>
            </w:tcMar>
            <w:vAlign w:val="top"/>
          </w:tcPr>
          <w:p>
            <w:pPr>
              <w:spacing w:after="0" w:line="240" w:lineRule="auto"/>
            </w:pPr>
            <w:r>
              <w:rPr>
                <w:sz w:val="12"/>
              </w:rPr>
              <w:t>category e.g. email-opt-in</w:t>
            </w:r>
          </w:p>
        </w:tc>
        <w:tc>
          <w:tcPr>
            <w:tcW w:type="dxa" w:w="1999"/>
            <w:shd w:fill="F3F5F7"/>
            <w:tcMar>
              <w:top w:w="90" w:type="dxa"/>
              <w:start w:w="100" w:type="dxa"/>
              <w:bottom w:w="90" w:type="dxa"/>
              <w:end w:w="100" w:type="dxa"/>
            </w:tcMar>
            <w:vAlign w:val="top"/>
          </w:tcPr>
          <w:p>
            <w:pPr>
              <w:spacing w:after="0" w:line="240" w:lineRule="auto"/>
            </w:pPr>
            <w:r>
              <w:rPr>
                <w:sz w:val="12"/>
              </w:rPr>
              <w:t>Outreach eligibility guardrail; source: Consent management platform; Restricted optional</w:t>
            </w:r>
          </w:p>
        </w:tc>
        <w:tc>
          <w:tcPr>
            <w:tcW w:type="dxa" w:w="1999"/>
            <w:shd w:fill="F3F5F7"/>
            <w:tcMar>
              <w:top w:w="90" w:type="dxa"/>
              <w:start w:w="100" w:type="dxa"/>
              <w:bottom w:w="90" w:type="dxa"/>
              <w:end w:w="100" w:type="dxa"/>
            </w:tcMar>
            <w:vAlign w:val="top"/>
          </w:tcPr>
          <w:p>
            <w:pPr>
              <w:spacing w:after="0" w:line="240" w:lineRule="auto"/>
            </w:pPr>
            <w:r>
              <w:rPr>
                <w:sz w:val="12"/>
              </w:rPr>
              <w:t>Quality: Check status timestamp jurisdiction and channel validity Privacy: Highly restricted; never infer from purchases</w:t>
            </w:r>
          </w:p>
        </w:tc>
      </w:tr>
      <w:tr>
        <w:tc>
          <w:tcPr>
            <w:tcW w:type="dxa" w:w="1999"/>
            <w:tcMar>
              <w:top w:w="90" w:type="dxa"/>
              <w:start w:w="100" w:type="dxa"/>
              <w:bottom w:w="90" w:type="dxa"/>
              <w:end w:w="100" w:type="dxa"/>
            </w:tcMar>
            <w:vAlign w:val="top"/>
          </w:tcPr>
          <w:p>
            <w:pPr>
              <w:spacing w:after="0" w:line="240" w:lineRule="auto"/>
            </w:pPr>
            <w:r>
              <w:rPr>
                <w:sz w:val="12"/>
              </w:rPr>
              <w:t>customer_experience_score</w:t>
            </w:r>
          </w:p>
        </w:tc>
        <w:tc>
          <w:tcPr>
            <w:tcW w:type="dxa" w:w="1999"/>
            <w:tcMar>
              <w:top w:w="90" w:type="dxa"/>
              <w:start w:w="100" w:type="dxa"/>
              <w:bottom w:w="90" w:type="dxa"/>
              <w:end w:w="100" w:type="dxa"/>
            </w:tcMar>
            <w:vAlign w:val="top"/>
          </w:tcPr>
          <w:p>
            <w:pPr>
              <w:spacing w:after="0" w:line="240" w:lineRule="auto"/>
            </w:pPr>
            <w:r>
              <w:rPr>
                <w:sz w:val="12"/>
              </w:rPr>
              <w:t>Approved customer-reported experience measure</w:t>
            </w:r>
          </w:p>
        </w:tc>
        <w:tc>
          <w:tcPr>
            <w:tcW w:type="dxa" w:w="1999"/>
            <w:tcMar>
              <w:top w:w="90" w:type="dxa"/>
              <w:start w:w="100" w:type="dxa"/>
              <w:bottom w:w="90" w:type="dxa"/>
              <w:end w:w="100" w:type="dxa"/>
            </w:tcMar>
            <w:vAlign w:val="top"/>
          </w:tcPr>
          <w:p>
            <w:pPr>
              <w:spacing w:after="0" w:line="240" w:lineRule="auto"/>
            </w:pPr>
            <w:r>
              <w:rPr>
                <w:sz w:val="12"/>
              </w:rPr>
              <w:t>ordinal e.g. 1-5</w:t>
            </w:r>
          </w:p>
        </w:tc>
        <w:tc>
          <w:tcPr>
            <w:tcW w:type="dxa" w:w="1999"/>
            <w:tcMar>
              <w:top w:w="90" w:type="dxa"/>
              <w:start w:w="100" w:type="dxa"/>
              <w:bottom w:w="90" w:type="dxa"/>
              <w:end w:w="100" w:type="dxa"/>
            </w:tcMar>
            <w:vAlign w:val="top"/>
          </w:tcPr>
          <w:p>
            <w:pPr>
              <w:spacing w:after="0" w:line="240" w:lineRule="auto"/>
            </w:pPr>
            <w:r>
              <w:rPr>
                <w:sz w:val="12"/>
              </w:rPr>
              <w:t>Optional explanatory construct; source: Documented post-purchase survey; Optional</w:t>
            </w:r>
          </w:p>
        </w:tc>
        <w:tc>
          <w:tcPr>
            <w:tcW w:type="dxa" w:w="1999"/>
            <w:tcMar>
              <w:top w:w="90" w:type="dxa"/>
              <w:start w:w="100" w:type="dxa"/>
              <w:bottom w:w="90" w:type="dxa"/>
              <w:end w:w="100" w:type="dxa"/>
            </w:tcMar>
            <w:vAlign w:val="top"/>
          </w:tcPr>
          <w:p>
            <w:pPr>
              <w:spacing w:after="0" w:line="240" w:lineRule="auto"/>
            </w:pPr>
            <w:r>
              <w:rPr>
                <w:sz w:val="12"/>
              </w:rPr>
              <w:t>Quality: Instrument timing response coverage nonresponse bias Privacy: Personal data; survey permission/access controls</w:t>
            </w:r>
          </w:p>
        </w:tc>
      </w:tr>
      <w:tr>
        <w:tc>
          <w:tcPr>
            <w:tcW w:type="dxa" w:w="1999"/>
            <w:shd w:fill="F3F5F7"/>
            <w:tcMar>
              <w:top w:w="90" w:type="dxa"/>
              <w:start w:w="100" w:type="dxa"/>
              <w:bottom w:w="90" w:type="dxa"/>
              <w:end w:w="100" w:type="dxa"/>
            </w:tcMar>
            <w:vAlign w:val="top"/>
          </w:tcPr>
          <w:p>
            <w:pPr>
              <w:spacing w:after="0" w:line="240" w:lineRule="auto"/>
            </w:pPr>
            <w:r>
              <w:rPr>
                <w:sz w:val="12"/>
              </w:rPr>
              <w:t>satisfaction_score</w:t>
            </w:r>
          </w:p>
        </w:tc>
        <w:tc>
          <w:tcPr>
            <w:tcW w:type="dxa" w:w="1999"/>
            <w:shd w:fill="F3F5F7"/>
            <w:tcMar>
              <w:top w:w="90" w:type="dxa"/>
              <w:start w:w="100" w:type="dxa"/>
              <w:bottom w:w="90" w:type="dxa"/>
              <w:end w:w="100" w:type="dxa"/>
            </w:tcMar>
            <w:vAlign w:val="top"/>
          </w:tcPr>
          <w:p>
            <w:pPr>
              <w:spacing w:after="0" w:line="240" w:lineRule="auto"/>
            </w:pPr>
            <w:r>
              <w:rPr>
                <w:sz w:val="12"/>
              </w:rPr>
              <w:t>Approved customer-reported satisfaction response</w:t>
            </w:r>
          </w:p>
        </w:tc>
        <w:tc>
          <w:tcPr>
            <w:tcW w:type="dxa" w:w="1999"/>
            <w:shd w:fill="F3F5F7"/>
            <w:tcMar>
              <w:top w:w="90" w:type="dxa"/>
              <w:start w:w="100" w:type="dxa"/>
              <w:bottom w:w="90" w:type="dxa"/>
              <w:end w:w="100" w:type="dxa"/>
            </w:tcMar>
            <w:vAlign w:val="top"/>
          </w:tcPr>
          <w:p>
            <w:pPr>
              <w:spacing w:after="0" w:line="240" w:lineRule="auto"/>
            </w:pPr>
            <w:r>
              <w:rPr>
                <w:sz w:val="12"/>
              </w:rPr>
              <w:t>ordinal e.g. 1-5</w:t>
            </w:r>
          </w:p>
        </w:tc>
        <w:tc>
          <w:tcPr>
            <w:tcW w:type="dxa" w:w="1999"/>
            <w:shd w:fill="F3F5F7"/>
            <w:tcMar>
              <w:top w:w="90" w:type="dxa"/>
              <w:start w:w="100" w:type="dxa"/>
              <w:bottom w:w="90" w:type="dxa"/>
              <w:end w:w="100" w:type="dxa"/>
            </w:tcMar>
            <w:vAlign w:val="top"/>
          </w:tcPr>
          <w:p>
            <w:pPr>
              <w:spacing w:after="0" w:line="240" w:lineRule="auto"/>
            </w:pPr>
            <w:r>
              <w:rPr>
                <w:sz w:val="12"/>
              </w:rPr>
              <w:t>Optional explanatory construct; source: Documented survey; Optional</w:t>
            </w:r>
          </w:p>
        </w:tc>
        <w:tc>
          <w:tcPr>
            <w:tcW w:type="dxa" w:w="1999"/>
            <w:shd w:fill="F3F5F7"/>
            <w:tcMar>
              <w:top w:w="90" w:type="dxa"/>
              <w:start w:w="100" w:type="dxa"/>
              <w:bottom w:w="90" w:type="dxa"/>
              <w:end w:w="100" w:type="dxa"/>
            </w:tcMar>
            <w:vAlign w:val="top"/>
          </w:tcPr>
          <w:p>
            <w:pPr>
              <w:spacing w:after="0" w:line="240" w:lineRule="auto"/>
            </w:pPr>
            <w:r>
              <w:rPr>
                <w:sz w:val="12"/>
              </w:rPr>
              <w:t>Quality: Scale timing linkage missingness and selection bias Privacy: Personal data; no inference from transaction</w:t>
            </w:r>
          </w:p>
        </w:tc>
      </w:tr>
      <w:tr>
        <w:tc>
          <w:tcPr>
            <w:tcW w:type="dxa" w:w="1999"/>
            <w:tcMar>
              <w:top w:w="90" w:type="dxa"/>
              <w:start w:w="100" w:type="dxa"/>
              <w:bottom w:w="90" w:type="dxa"/>
              <w:end w:w="100" w:type="dxa"/>
            </w:tcMar>
            <w:vAlign w:val="top"/>
          </w:tcPr>
          <w:p>
            <w:pPr>
              <w:spacing w:after="0" w:line="240" w:lineRule="auto"/>
            </w:pPr>
            <w:r>
              <w:rPr>
                <w:sz w:val="12"/>
              </w:rPr>
              <w:t>beauty_tech_exposure</w:t>
            </w:r>
          </w:p>
        </w:tc>
        <w:tc>
          <w:tcPr>
            <w:tcW w:type="dxa" w:w="1999"/>
            <w:tcMar>
              <w:top w:w="90" w:type="dxa"/>
              <w:start w:w="100" w:type="dxa"/>
              <w:bottom w:w="90" w:type="dxa"/>
              <w:end w:w="100" w:type="dxa"/>
            </w:tcMar>
            <w:vAlign w:val="top"/>
          </w:tcPr>
          <w:p>
            <w:pPr>
              <w:spacing w:after="0" w:line="240" w:lineRule="auto"/>
            </w:pPr>
            <w:r>
              <w:rPr>
                <w:sz w:val="12"/>
              </w:rPr>
              <w:t>Recorded exposure to defined AR/AI experience</w:t>
            </w:r>
          </w:p>
        </w:tc>
        <w:tc>
          <w:tcPr>
            <w:tcW w:type="dxa" w:w="1999"/>
            <w:tcMar>
              <w:top w:w="90" w:type="dxa"/>
              <w:start w:w="100" w:type="dxa"/>
              <w:bottom w:w="90" w:type="dxa"/>
              <w:end w:w="100" w:type="dxa"/>
            </w:tcMar>
            <w:vAlign w:val="top"/>
          </w:tcPr>
          <w:p>
            <w:pPr>
              <w:spacing w:after="0" w:line="240" w:lineRule="auto"/>
            </w:pPr>
            <w:r>
              <w:rPr>
                <w:sz w:val="12"/>
              </w:rPr>
              <w:t>boolean e.g. true</w:t>
            </w:r>
          </w:p>
        </w:tc>
        <w:tc>
          <w:tcPr>
            <w:tcW w:type="dxa" w:w="1999"/>
            <w:tcMar>
              <w:top w:w="90" w:type="dxa"/>
              <w:start w:w="100" w:type="dxa"/>
              <w:bottom w:w="90" w:type="dxa"/>
              <w:end w:w="100" w:type="dxa"/>
            </w:tcMar>
            <w:vAlign w:val="top"/>
          </w:tcPr>
          <w:p>
            <w:pPr>
              <w:spacing w:after="0" w:line="240" w:lineRule="auto"/>
            </w:pPr>
            <w:r>
              <w:rPr>
                <w:sz w:val="12"/>
              </w:rPr>
              <w:t>Optional exposure variable; source: Approved digital experience logs; Optional only if service exists</w:t>
            </w:r>
          </w:p>
        </w:tc>
        <w:tc>
          <w:tcPr>
            <w:tcW w:type="dxa" w:w="1999"/>
            <w:tcMar>
              <w:top w:w="90" w:type="dxa"/>
              <w:start w:w="100" w:type="dxa"/>
              <w:bottom w:w="90" w:type="dxa"/>
              <w:end w:w="100" w:type="dxa"/>
            </w:tcMar>
            <w:vAlign w:val="top"/>
          </w:tcPr>
          <w:p>
            <w:pPr>
              <w:spacing w:after="0" w:line="240" w:lineRule="auto"/>
            </w:pPr>
            <w:r>
              <w:rPr>
                <w:sz w:val="12"/>
              </w:rPr>
              <w:t>Quality: Event definition identity linkage bot exposure and timing Privacy: Behavioral data; purpose minimization</w:t>
            </w:r>
          </w:p>
        </w:tc>
      </w:tr>
    </w:tbl>
    <w:p>
      <w:pPr>
        <w:spacing w:after="20"/>
      </w:pPr>
    </w:p>
    <w:p>
      <w:r>
        <w:br w:type="page"/>
      </w:r>
    </w:p>
    <w:p>
      <w:pPr>
        <w:pStyle w:val="Heading1"/>
        <w:keepNext/>
      </w:pPr>
      <w:r>
        <w:t>References</w:t>
      </w:r>
    </w:p>
    <w:p>
      <w:pPr>
        <w:keepLines/>
        <w:spacing w:after="100"/>
      </w:pPr>
      <w:r>
        <w:t xml:space="preserve">[1] McKinsey &amp; Company. (2026, June 18). From aisle to algorithm: The beauty categories, channels, and concepts shaping 2030 growth. </w:t>
      </w:r>
      <w:hyperlink r:id="rId11">
        <w:r>
          <w:rPr>
            <w:color w:val="138A8A"/>
            <w:u w:val="single"/>
          </w:rPr>
          <w:t>https://www.mckinsey.com/industries/consumer-packaged-goods/our-insights/state-of-beauty</w:t>
        </w:r>
      </w:hyperlink>
    </w:p>
    <w:p>
      <w:pPr>
        <w:keepLines/>
        <w:spacing w:after="100"/>
      </w:pPr>
      <w:r>
        <w:t xml:space="preserve">[2] McKinsey &amp; Company. (2025, June 9). State of Beauty 2025: Solving a shifting growth puzzle. </w:t>
      </w:r>
      <w:hyperlink r:id="rId12">
        <w:r>
          <w:rPr>
            <w:color w:val="138A8A"/>
            <w:u w:val="single"/>
          </w:rPr>
          <w:t>https://www.mckinsey.com/industries/consumer-packaged-goods/our-insights/state-of-beauty-2025</w:t>
        </w:r>
      </w:hyperlink>
    </w:p>
    <w:p>
      <w:pPr>
        <w:keepLines/>
        <w:spacing w:after="100"/>
      </w:pPr>
      <w:r>
        <w:t xml:space="preserve">[3] McKinsey &amp; Company. (2025, May 29). The $2 trillion global wellness market gets a millennial and Gen Z glow-up. </w:t>
      </w:r>
      <w:hyperlink r:id="rId13">
        <w:r>
          <w:rPr>
            <w:color w:val="138A8A"/>
            <w:u w:val="single"/>
          </w:rPr>
          <w:t>https://www.mckinsey.com/industries/consumer-packaged-goods/our-insights/future-of-wellness-trends</w:t>
        </w:r>
      </w:hyperlink>
    </w:p>
    <w:p>
      <w:pPr>
        <w:keepLines/>
        <w:spacing w:after="100"/>
      </w:pPr>
      <w:r>
        <w:t xml:space="preserve">[4] Perret, J. K., &amp; Schwientek, J. (2025). Beauty Tech—Customer Experience and Loyalty of Augmented Reality- and Artificial Intelligence-Driven Cosmetics. Digital, 5(2), 21. </w:t>
      </w:r>
      <w:hyperlink r:id="rId14">
        <w:r>
          <w:rPr>
            <w:color w:val="138A8A"/>
            <w:u w:val="single"/>
          </w:rPr>
          <w:t>https://doi.org/10.3390/digital5020021</w:t>
        </w:r>
      </w:hyperlink>
    </w:p>
    <w:p>
      <w:pPr>
        <w:keepLines/>
        <w:spacing w:after="100"/>
      </w:pPr>
      <w:r>
        <w:t xml:space="preserve">[5] Fader, P. S., Hardie, B. G. S., &amp; Lee, K. L. (2005). RFM and CLV: Using Iso-Value Curves for Customer Base Analysis. Journal of Marketing Research, 42(4), 415–430. </w:t>
      </w:r>
      <w:hyperlink r:id="rId15">
        <w:r>
          <w:rPr>
            <w:color w:val="138A8A"/>
            <w:u w:val="single"/>
          </w:rPr>
          <w:t>https://doi.org/10.1509/jmkr.2005.42.4.415</w:t>
        </w:r>
      </w:hyperlink>
    </w:p>
    <w:p>
      <w:pPr>
        <w:keepLines/>
        <w:spacing w:after="100"/>
      </w:pPr>
      <w:r>
        <w:t xml:space="preserve">[6] Fader, P. S., Hardie, B. G. S., &amp; Shang, J. (2010). Customer-Base Analysis in a Discrete-Time Noncontractual Setting. Marketing Science, 29(6), 1086–1108. </w:t>
      </w:r>
      <w:hyperlink r:id="rId16">
        <w:r>
          <w:rPr>
            <w:color w:val="138A8A"/>
            <w:u w:val="single"/>
          </w:rPr>
          <w:t>https://doi.org/10.1287/mksc.1100.0580</w:t>
        </w:r>
      </w:hyperlink>
    </w:p>
    <w:p>
      <w:pPr>
        <w:keepLines/>
        <w:spacing w:after="100"/>
      </w:pPr>
      <w:r>
        <w:t xml:space="preserve">[7] Gupta, S., Lehmann, D. R., &amp; Stuart, J. A. (2004). Valuing Customers. Journal of Marketing Research, 41(1), 7–18. </w:t>
      </w:r>
      <w:hyperlink r:id="rId17">
        <w:r>
          <w:rPr>
            <w:color w:val="138A8A"/>
            <w:u w:val="single"/>
          </w:rPr>
          <w:t>https://doi.org/10.1509/jmkr.41.1.7.25084</w:t>
        </w:r>
      </w:hyperlink>
    </w:p>
    <w:p>
      <w:pPr>
        <w:keepLines/>
        <w:spacing w:after="100"/>
      </w:pPr>
      <w:r>
        <w:t xml:space="preserve">[8] scikit-learn developers. Model evaluation: quantifying the quality of predictions. Official documentation. </w:t>
      </w:r>
      <w:hyperlink r:id="rId18">
        <w:r>
          <w:rPr>
            <w:color w:val="138A8A"/>
            <w:u w:val="single"/>
          </w:rPr>
          <w:t>https://scikit-learn.org/stable/modules/model_evaluation.html</w:t>
        </w:r>
      </w:hyperlink>
    </w:p>
    <w:p>
      <w:pPr>
        <w:keepLines/>
        <w:spacing w:after="100"/>
      </w:pPr>
      <w:r>
        <w:t xml:space="preserve">[9] pandas development team. pandas documentation. </w:t>
      </w:r>
      <w:hyperlink r:id="rId19">
        <w:r>
          <w:rPr>
            <w:color w:val="138A8A"/>
            <w:u w:val="single"/>
          </w:rPr>
          <w:t>https://pandas.pydata.org/docs/</w:t>
        </w:r>
      </w:hyperlink>
    </w:p>
    <w:p>
      <w:pPr>
        <w:keepLines/>
        <w:spacing w:after="100"/>
      </w:pPr>
      <w:r>
        <w:t xml:space="preserve">[10] python-docx contributors. python-docx documentation. </w:t>
      </w:r>
      <w:hyperlink r:id="rId20">
        <w:r>
          <w:rPr>
            <w:color w:val="138A8A"/>
            <w:u w:val="single"/>
          </w:rPr>
          <w:t>https://python-docx.readthedocs.io/en/latest/</w:t>
        </w:r>
      </w:hyperlink>
    </w:p>
    <w:p>
      <w:pPr>
        <w:keepLines/>
        <w:spacing w:after="100"/>
      </w:pPr>
      <w:r>
        <w:t xml:space="preserve">[11] UCI Machine Learning Repository. Online Retail II. Dataset record and variable descriptions; publication date not stated on the accessed page. Dataset-specific reuse terms require review. </w:t>
      </w:r>
      <w:hyperlink r:id="rId21">
        <w:r>
          <w:rPr>
            <w:color w:val="138A8A"/>
            <w:u w:val="single"/>
          </w:rPr>
          <w:t>https://archive.ics.uci.edu/dataset/502/online+retail+ii</w:t>
        </w:r>
      </w:hyperlink>
    </w:p>
    <w:p>
      <w:pPr>
        <w:keepLines/>
        <w:spacing w:after="100"/>
      </w:pPr>
      <w:r>
        <w:t xml:space="preserve">[12] Amazon Reviews'23 project. Dataset documentation; publication date not stated on the accessed landing page. Confirm category, fields, access, and reuse terms before use. </w:t>
      </w:r>
      <w:hyperlink r:id="rId22">
        <w:r>
          <w:rPr>
            <w:color w:val="138A8A"/>
            <w:u w:val="single"/>
          </w:rPr>
          <w:t>https://amazon-reviews-2023.github.io/</w:t>
        </w:r>
      </w:hyperlink>
    </w:p>
    <w:p>
      <w:pPr>
        <w:spacing w:after="120" w:line="259" w:lineRule="auto"/>
      </w:pPr>
      <w:r>
        <w:t>Access dates: McKinsey public pages October 10, 2026; academic DOI records and abstracts October 11, 2026. Bibliographic details for references [4]–[7] were checked against Crossref DOI records. The publisher page for [4] returned HTTP 403 during this review, so its use here is limited to the abstract-level information available from the DOI record; consult the full article for study-design details. Industry forecasts and survey results remain attributed to their publishers and are not recreated or independently estimated here.</w:t>
      </w:r>
    </w:p>
    <w:p>
      <w:pPr>
        <w:pStyle w:val="Heading1"/>
        <w:keepNext/>
      </w:pPr>
      <w:r>
        <w:t>Final quality check</w:t>
      </w:r>
    </w:p>
    <w:p>
      <w:pPr>
        <w:pStyle w:val="Caption"/>
        <w:keepNext/>
        <w:spacing w:before="60" w:after="60"/>
      </w:pPr>
      <w:r>
        <w:t>Table 23. Check / Result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7324D"/>
            <w:tcMar>
              <w:top w:w="90" w:type="dxa"/>
              <w:start w:w="100" w:type="dxa"/>
              <w:bottom w:w="90" w:type="dxa"/>
              <w:end w:w="100" w:type="dxa"/>
            </w:tcMar>
            <w:vAlign w:val="center"/>
          </w:tcPr>
          <w:p>
            <w:pPr>
              <w:spacing w:after="0"/>
            </w:pPr>
            <w:r>
              <w:rPr>
                <w:b/>
                <w:color w:val="FFFFFF"/>
                <w:sz w:val="17"/>
              </w:rPr>
              <w:t>Check</w:t>
            </w:r>
          </w:p>
        </w:tc>
        <w:tc>
          <w:tcPr>
            <w:tcW w:type="dxa" w:w="4997"/>
            <w:shd w:fill="17324D"/>
            <w:tcMar>
              <w:top w:w="90" w:type="dxa"/>
              <w:start w:w="100" w:type="dxa"/>
              <w:bottom w:w="90" w:type="dxa"/>
              <w:end w:w="100" w:type="dxa"/>
            </w:tcMar>
            <w:vAlign w:val="center"/>
          </w:tcPr>
          <w:p>
            <w:pPr>
              <w:spacing w:after="0"/>
            </w:pPr>
            <w:r>
              <w:rPr>
                <w:b/>
                <w:color w:val="FFFFFF"/>
                <w:sz w:val="17"/>
              </w:rPr>
              <w:t>Result</w:t>
            </w:r>
          </w:p>
        </w:tc>
      </w:tr>
      <w:tr>
        <w:tc>
          <w:tcPr>
            <w:tcW w:type="dxa" w:w="4997"/>
            <w:tcMar>
              <w:top w:w="90" w:type="dxa"/>
              <w:start w:w="100" w:type="dxa"/>
              <w:bottom w:w="90" w:type="dxa"/>
              <w:end w:w="100" w:type="dxa"/>
            </w:tcMar>
            <w:vAlign w:val="top"/>
          </w:tcPr>
          <w:p>
            <w:pPr>
              <w:spacing w:after="0" w:line="240" w:lineRule="auto"/>
            </w:pPr>
            <w:r>
              <w:rPr>
                <w:sz w:val="17"/>
              </w:rPr>
              <w:t>Source dates and titles</w:t>
            </w:r>
          </w:p>
        </w:tc>
        <w:tc>
          <w:tcPr>
            <w:tcW w:type="dxa" w:w="4997"/>
            <w:tcMar>
              <w:top w:w="90" w:type="dxa"/>
              <w:start w:w="100" w:type="dxa"/>
              <w:bottom w:w="90" w:type="dxa"/>
              <w:end w:w="100" w:type="dxa"/>
            </w:tcMar>
            <w:vAlign w:val="top"/>
          </w:tcPr>
          <w:p>
            <w:pPr>
              <w:spacing w:after="0" w:line="240" w:lineRule="auto"/>
            </w:pPr>
            <w:r>
              <w:rPr>
                <w:sz w:val="17"/>
              </w:rPr>
              <w:t>McKinsey dates verified on public pages; academic citation metadata checked against DOI records.</w:t>
            </w:r>
          </w:p>
        </w:tc>
      </w:tr>
      <w:tr>
        <w:tc>
          <w:tcPr>
            <w:tcW w:type="dxa" w:w="4997"/>
            <w:shd w:fill="F3F5F7"/>
            <w:tcMar>
              <w:top w:w="90" w:type="dxa"/>
              <w:start w:w="100" w:type="dxa"/>
              <w:bottom w:w="90" w:type="dxa"/>
              <w:end w:w="100" w:type="dxa"/>
            </w:tcMar>
            <w:vAlign w:val="top"/>
          </w:tcPr>
          <w:p>
            <w:pPr>
              <w:spacing w:after="0" w:line="240" w:lineRule="auto"/>
            </w:pPr>
            <w:r>
              <w:rPr>
                <w:sz w:val="17"/>
              </w:rPr>
              <w:t>Industry and academic evidence</w:t>
            </w:r>
          </w:p>
        </w:tc>
        <w:tc>
          <w:tcPr>
            <w:tcW w:type="dxa" w:w="4997"/>
            <w:shd w:fill="F3F5F7"/>
            <w:tcMar>
              <w:top w:w="90" w:type="dxa"/>
              <w:start w:w="100" w:type="dxa"/>
              <w:bottom w:w="90" w:type="dxa"/>
              <w:end w:w="100" w:type="dxa"/>
            </w:tcMar>
            <w:vAlign w:val="top"/>
          </w:tcPr>
          <w:p>
            <w:pPr>
              <w:spacing w:after="0" w:line="240" w:lineRule="auto"/>
            </w:pPr>
            <w:r>
              <w:rPr>
                <w:sz w:val="17"/>
              </w:rPr>
              <w:t>Beauty-specific academic context and customer-analytics methods are discussed with transfer limitations.</w:t>
            </w:r>
          </w:p>
        </w:tc>
      </w:tr>
      <w:tr>
        <w:tc>
          <w:tcPr>
            <w:tcW w:type="dxa" w:w="4997"/>
            <w:tcMar>
              <w:top w:w="90" w:type="dxa"/>
              <w:start w:w="100" w:type="dxa"/>
              <w:bottom w:w="90" w:type="dxa"/>
              <w:end w:w="100" w:type="dxa"/>
            </w:tcMar>
            <w:vAlign w:val="top"/>
          </w:tcPr>
          <w:p>
            <w:pPr>
              <w:spacing w:after="0" w:line="240" w:lineRule="auto"/>
            </w:pPr>
            <w:r>
              <w:rPr>
                <w:sz w:val="17"/>
              </w:rPr>
              <w:t>In-text citations</w:t>
            </w:r>
          </w:p>
        </w:tc>
        <w:tc>
          <w:tcPr>
            <w:tcW w:type="dxa" w:w="4997"/>
            <w:tcMar>
              <w:top w:w="90" w:type="dxa"/>
              <w:start w:w="100" w:type="dxa"/>
              <w:bottom w:w="90" w:type="dxa"/>
              <w:end w:w="100" w:type="dxa"/>
            </w:tcMar>
            <w:vAlign w:val="top"/>
          </w:tcPr>
          <w:p>
            <w:pPr>
              <w:spacing w:after="0" w:line="240" w:lineRule="auto"/>
            </w:pPr>
            <w:r>
              <w:rPr>
                <w:sz w:val="17"/>
              </w:rPr>
              <w:t>Industry statements cite [1]–[3]; academic concepts cite [4]–[7]; tools cite [8]–[10]; candidate data sources cite [11]–[12].</w:t>
            </w:r>
          </w:p>
        </w:tc>
      </w:tr>
      <w:tr>
        <w:tc>
          <w:tcPr>
            <w:tcW w:type="dxa" w:w="4997"/>
            <w:shd w:fill="F3F5F7"/>
            <w:tcMar>
              <w:top w:w="90" w:type="dxa"/>
              <w:start w:w="100" w:type="dxa"/>
              <w:bottom w:w="90" w:type="dxa"/>
              <w:end w:w="100" w:type="dxa"/>
            </w:tcMar>
            <w:vAlign w:val="top"/>
          </w:tcPr>
          <w:p>
            <w:pPr>
              <w:spacing w:after="0" w:line="240" w:lineRule="auto"/>
            </w:pPr>
            <w:r>
              <w:rPr>
                <w:sz w:val="17"/>
              </w:rPr>
              <w:t>Customer findings</w:t>
            </w:r>
          </w:p>
        </w:tc>
        <w:tc>
          <w:tcPr>
            <w:tcW w:type="dxa" w:w="4997"/>
            <w:shd w:fill="F3F5F7"/>
            <w:tcMar>
              <w:top w:w="90" w:type="dxa"/>
              <w:start w:w="100" w:type="dxa"/>
              <w:bottom w:w="90" w:type="dxa"/>
              <w:end w:w="100" w:type="dxa"/>
            </w:tcMar>
            <w:vAlign w:val="top"/>
          </w:tcPr>
          <w:p>
            <w:pPr>
              <w:spacing w:after="0" w:line="240" w:lineRule="auto"/>
            </w:pPr>
            <w:r>
              <w:rPr>
                <w:sz w:val="17"/>
              </w:rPr>
              <w:t>None reported; no customer dataset was provided or analyzed.</w:t>
            </w:r>
          </w:p>
        </w:tc>
      </w:tr>
      <w:tr>
        <w:tc>
          <w:tcPr>
            <w:tcW w:type="dxa" w:w="4997"/>
            <w:tcMar>
              <w:top w:w="90" w:type="dxa"/>
              <w:start w:w="100" w:type="dxa"/>
              <w:bottom w:w="90" w:type="dxa"/>
              <w:end w:w="100" w:type="dxa"/>
            </w:tcMar>
            <w:vAlign w:val="top"/>
          </w:tcPr>
          <w:p>
            <w:pPr>
              <w:spacing w:after="0" w:line="240" w:lineRule="auto"/>
            </w:pPr>
            <w:r>
              <w:rPr>
                <w:sz w:val="17"/>
              </w:rPr>
              <w:t>Hypotheses</w:t>
            </w:r>
          </w:p>
        </w:tc>
        <w:tc>
          <w:tcPr>
            <w:tcW w:type="dxa" w:w="4997"/>
            <w:tcMar>
              <w:top w:w="90" w:type="dxa"/>
              <w:start w:w="100" w:type="dxa"/>
              <w:bottom w:w="90" w:type="dxa"/>
              <w:end w:w="100" w:type="dxa"/>
            </w:tcMar>
            <w:vAlign w:val="top"/>
          </w:tcPr>
          <w:p>
            <w:pPr>
              <w:spacing w:after="0" w:line="240" w:lineRule="auto"/>
            </w:pPr>
            <w:r>
              <w:rPr>
                <w:sz w:val="17"/>
              </w:rPr>
              <w:t>H1–H5 each include null/alternative framing, variables, candidate test, and limitations; all are untested.</w:t>
            </w:r>
          </w:p>
        </w:tc>
      </w:tr>
      <w:tr>
        <w:tc>
          <w:tcPr>
            <w:tcW w:type="dxa" w:w="4997"/>
            <w:shd w:fill="F3F5F7"/>
            <w:tcMar>
              <w:top w:w="90" w:type="dxa"/>
              <w:start w:w="100" w:type="dxa"/>
              <w:bottom w:w="90" w:type="dxa"/>
              <w:end w:w="100" w:type="dxa"/>
            </w:tcMar>
            <w:vAlign w:val="top"/>
          </w:tcPr>
          <w:p>
            <w:pPr>
              <w:spacing w:after="0" w:line="240" w:lineRule="auto"/>
            </w:pPr>
            <w:r>
              <w:rPr>
                <w:sz w:val="17"/>
              </w:rPr>
              <w:t>Methods and metrics</w:t>
            </w:r>
          </w:p>
        </w:tc>
        <w:tc>
          <w:tcPr>
            <w:tcW w:type="dxa" w:w="4997"/>
            <w:shd w:fill="F3F5F7"/>
            <w:tcMar>
              <w:top w:w="90" w:type="dxa"/>
              <w:start w:w="100" w:type="dxa"/>
              <w:bottom w:w="90" w:type="dxa"/>
              <w:end w:w="100" w:type="dxa"/>
            </w:tcMar>
            <w:vAlign w:val="top"/>
          </w:tcPr>
          <w:p>
            <w:pPr>
              <w:spacing w:after="0" w:line="240" w:lineRule="auto"/>
            </w:pPr>
            <w:r>
              <w:rPr>
                <w:sz w:val="17"/>
              </w:rPr>
              <w:t>Population, follow-up, censoring, leakage, and decision metrics are specified as proposals.</w:t>
            </w:r>
          </w:p>
        </w:tc>
      </w:tr>
      <w:tr>
        <w:tc>
          <w:tcPr>
            <w:tcW w:type="dxa" w:w="4997"/>
            <w:tcMar>
              <w:top w:w="90" w:type="dxa"/>
              <w:start w:w="100" w:type="dxa"/>
              <w:bottom w:w="90" w:type="dxa"/>
              <w:end w:w="100" w:type="dxa"/>
            </w:tcMar>
            <w:vAlign w:val="top"/>
          </w:tcPr>
          <w:p>
            <w:pPr>
              <w:spacing w:after="0" w:line="240" w:lineRule="auto"/>
            </w:pPr>
            <w:r>
              <w:rPr>
                <w:sz w:val="17"/>
              </w:rPr>
              <w:t>Privacy</w:t>
            </w:r>
          </w:p>
        </w:tc>
        <w:tc>
          <w:tcPr>
            <w:tcW w:type="dxa" w:w="4997"/>
            <w:tcMar>
              <w:top w:w="90" w:type="dxa"/>
              <w:start w:w="100" w:type="dxa"/>
              <w:bottom w:w="90" w:type="dxa"/>
              <w:end w:w="100" w:type="dxa"/>
            </w:tcMar>
            <w:vAlign w:val="top"/>
          </w:tcPr>
          <w:p>
            <w:pPr>
              <w:spacing w:after="0" w:line="240" w:lineRule="auto"/>
            </w:pPr>
            <w:r>
              <w:rPr>
                <w:sz w:val="17"/>
              </w:rPr>
              <w:t>Data minimization, permissions, restricted fields, and reviewer gate are stated; no compliance guarantee is made.</w:t>
            </w:r>
          </w:p>
        </w:tc>
      </w:tr>
      <w:tr>
        <w:tc>
          <w:tcPr>
            <w:tcW w:type="dxa" w:w="4997"/>
            <w:shd w:fill="F3F5F7"/>
            <w:tcMar>
              <w:top w:w="90" w:type="dxa"/>
              <w:start w:w="100" w:type="dxa"/>
              <w:bottom w:w="90" w:type="dxa"/>
              <w:end w:w="100" w:type="dxa"/>
            </w:tcMar>
            <w:vAlign w:val="top"/>
          </w:tcPr>
          <w:p>
            <w:pPr>
              <w:spacing w:after="0" w:line="240" w:lineRule="auto"/>
            </w:pPr>
            <w:r>
              <w:rPr>
                <w:sz w:val="17"/>
              </w:rPr>
              <w:t>Deliverable structure</w:t>
            </w:r>
          </w:p>
        </w:tc>
        <w:tc>
          <w:tcPr>
            <w:tcW w:type="dxa" w:w="4997"/>
            <w:shd w:fill="F3F5F7"/>
            <w:tcMar>
              <w:top w:w="90" w:type="dxa"/>
              <w:start w:w="100" w:type="dxa"/>
              <w:bottom w:w="90" w:type="dxa"/>
              <w:end w:w="100" w:type="dxa"/>
            </w:tcMar>
            <w:vAlign w:val="top"/>
          </w:tcPr>
          <w:p>
            <w:pPr>
              <w:spacing w:after="0" w:line="240" w:lineRule="auto"/>
            </w:pPr>
            <w:r>
              <w:rPr>
                <w:sz w:val="17"/>
              </w:rPr>
              <w:t>Cover, TOC field, numbered headings, tables, references, header/footer, and page fields included.</w:t>
            </w:r>
          </w:p>
        </w:tc>
      </w:tr>
      <w:tr>
        <w:tc>
          <w:tcPr>
            <w:tcW w:type="dxa" w:w="4997"/>
            <w:tcMar>
              <w:top w:w="90" w:type="dxa"/>
              <w:start w:w="100" w:type="dxa"/>
              <w:bottom w:w="90" w:type="dxa"/>
              <w:end w:w="100" w:type="dxa"/>
            </w:tcMar>
            <w:vAlign w:val="top"/>
          </w:tcPr>
          <w:p>
            <w:pPr>
              <w:spacing w:after="0" w:line="240" w:lineRule="auto"/>
            </w:pPr>
            <w:r>
              <w:rPr>
                <w:sz w:val="17"/>
              </w:rPr>
              <w:t>Companion files</w:t>
            </w:r>
          </w:p>
        </w:tc>
        <w:tc>
          <w:tcPr>
            <w:tcW w:type="dxa" w:w="4997"/>
            <w:tcMar>
              <w:top w:w="90" w:type="dxa"/>
              <w:start w:w="100" w:type="dxa"/>
              <w:bottom w:w="90" w:type="dxa"/>
              <w:end w:w="100" w:type="dxa"/>
            </w:tcMar>
            <w:vAlign w:val="top"/>
          </w:tcPr>
          <w:p>
            <w:pPr>
              <w:spacing w:after="0" w:line="240" w:lineRule="auto"/>
            </w:pPr>
            <w:r>
              <w:rPr>
                <w:sz w:val="17"/>
              </w:rPr>
              <w:t>Research source log, variable dictionary, analysis plan, README, and requirements are part of the project.</w:t>
            </w:r>
          </w:p>
        </w:tc>
      </w:tr>
    </w:tbl>
    <w:p>
      <w:pPr>
        <w:spacing w:after="20"/>
      </w:pPr>
    </w:p>
    <w:tbl>
      <w:tblPr>
        <w:tblW w:type="auto" w:w="0"/>
        <w:jc w:val="center"/>
        <w:tblLook w:firstColumn="1" w:firstRow="1" w:lastColumn="0" w:lastRow="0" w:noHBand="0" w:noVBand="1" w:val="04A0"/>
      </w:tblPr>
      <w:tblGrid>
        <w:gridCol w:w="9994"/>
      </w:tblGrid>
      <w:tr>
        <w:tc>
          <w:tcPr>
            <w:tcW w:type="dxa" w:w="9994"/>
            <w:shd w:fill="E8F4F3"/>
            <w:tcMar>
              <w:top w:w="150" w:type="dxa"/>
              <w:start w:w="180" w:type="dxa"/>
              <w:bottom w:w="150" w:type="dxa"/>
              <w:end w:w="180" w:type="dxa"/>
            </w:tcMar>
          </w:tcPr>
          <w:p>
            <w:pPr>
              <w:spacing w:after="0"/>
            </w:pPr>
            <w:r>
              <w:rPr>
                <w:b/>
                <w:color w:val="138A8A"/>
              </w:rPr>
              <w:t xml:space="preserve">FINAL STATUS  </w:t>
            </w:r>
            <w:r>
              <w:t>Proposal complete. Customer analysis and all hypotheses remain untested.</w:t>
            </w:r>
          </w:p>
        </w:tc>
      </w:tr>
    </w:tbl>
    <w:p>
      <w:pPr>
        <w:spacing w:after="0"/>
      </w:pPr>
    </w:p>
    <w:sectPr w:rsidR="00FC693F" w:rsidRPr="0006063C" w:rsidSect="00034616">
      <w:headerReference w:type="default" r:id="rId9"/>
      <w:footerReference w:type="default" r:id="rId10"/>
      <w:pgSz w:w="12240" w:h="15840"/>
      <w:pgMar w:top="979" w:right="1123" w:bottom="950"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color w:val="596775"/>
        <w:sz w:val="16"/>
      </w:rPr>
      <w:t xml:space="preserve">PROPOSED ANALYSIS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color w:val="596775"/>
        <w:sz w:val="16"/>
      </w:rPr>
      <w:t>WEEK 1 PROJECT  |  BEAUTY + WELLNESS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b/>
      <w:bCs/>
      <w:color w:val="138A8A"/>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38A8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9677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ckinsey.com/industries/consumer-packaged-goods/our-insights/state-of-beauty" TargetMode="External"/><Relationship Id="rId12" Type="http://schemas.openxmlformats.org/officeDocument/2006/relationships/hyperlink" Target="https://www.mckinsey.com/industries/consumer-packaged-goods/our-insights/state-of-beauty-2025" TargetMode="External"/><Relationship Id="rId13" Type="http://schemas.openxmlformats.org/officeDocument/2006/relationships/hyperlink" Target="https://www.mckinsey.com/industries/consumer-packaged-goods/our-insights/future-of-wellness-trends" TargetMode="External"/><Relationship Id="rId14" Type="http://schemas.openxmlformats.org/officeDocument/2006/relationships/hyperlink" Target="https://doi.org/10.3390/digital5020021" TargetMode="External"/><Relationship Id="rId15" Type="http://schemas.openxmlformats.org/officeDocument/2006/relationships/hyperlink" Target="https://doi.org/10.1509/jmkr.2005.42.4.415" TargetMode="External"/><Relationship Id="rId16" Type="http://schemas.openxmlformats.org/officeDocument/2006/relationships/hyperlink" Target="https://doi.org/10.1287/mksc.1100.0580" TargetMode="External"/><Relationship Id="rId17" Type="http://schemas.openxmlformats.org/officeDocument/2006/relationships/hyperlink" Target="https://doi.org/10.1509/jmkr.41.1.7.25084" TargetMode="External"/><Relationship Id="rId18" Type="http://schemas.openxmlformats.org/officeDocument/2006/relationships/hyperlink" Target="https://scikit-learn.org/stable/modules/model_evaluation.html" TargetMode="External"/><Relationship Id="rId19" Type="http://schemas.openxmlformats.org/officeDocument/2006/relationships/hyperlink" Target="https://pandas.pydata.org/docs/" TargetMode="External"/><Relationship Id="rId20" Type="http://schemas.openxmlformats.org/officeDocument/2006/relationships/hyperlink" Target="https://python-docx.readthedocs.io/en/latest/" TargetMode="External"/><Relationship Id="rId21" Type="http://schemas.openxmlformats.org/officeDocument/2006/relationships/hyperlink" Target="https://archive.ics.uci.edu/dataset/502/online+retail+ii" TargetMode="External"/><Relationship Id="rId22" Type="http://schemas.openxmlformats.org/officeDocument/2006/relationships/hyperlink" Target="https://amazon-reviews-2023.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Beauty &amp; Wellness Customer Purchase and Retention Analysis — Week 1</dc:title>
  <dc:subject>Proposed customer purchase and retention analysis; no findings tested</dc:subject>
  <dc:creator>Internship Project</dc:creator>
  <cp:keywords>beauty, wellness, customer retention, cohort analysis, proposal</cp:keywords>
  <dc:description>generated by python-docx</dc:description>
  <cp:lastModifiedBy/>
  <cp:revision>1</cp:revision>
  <dcterms:created xsi:type="dcterms:W3CDTF">2013-12-23T23:15:00Z</dcterms:created>
  <dcterms:modified xsi:type="dcterms:W3CDTF">2013-12-23T23:15:00Z</dcterms:modified>
  <cp:category/>
</cp:coreProperties>
</file>