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02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distinct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address2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site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department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rPr>
          <w:i w:val="1"/>
          <w:iCs w:val="1"/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zipcode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</w:p>
    <w:p w:rsidR="00000000" w:rsidDel="00000000" w:rsidP="00000000" w:rsidRDefault="00000000" w:rsidRPr="00000000" w14:paraId="0000000A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agency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</w:p>
    <w:p w:rsidR="00000000" w:rsidDel="00000000" w:rsidP="00000000" w:rsidRDefault="00000000" w:rsidRPr="00000000" w14:paraId="0000000C">
      <w:pPr>
        <w:shd w:fill="ffffff" w:val="clear"/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order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desc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count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distinct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agency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</w:p>
    <w:p w:rsidR="00000000" w:rsidDel="00000000" w:rsidP="00000000" w:rsidRDefault="00000000" w:rsidRPr="00000000" w14:paraId="0000000F">
      <w:pPr>
        <w:shd w:fill="ffffff" w:val="clear"/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color w:val="808080"/>
          <w:sz w:val="32"/>
          <w:szCs w:val="32"/>
          <w:rtl w:val="0"/>
        </w:rPr>
        <w:t xml:space="preserve">-- Above two codes were looking at only agency table. Removing the condition that the agency record had to be tied to a requester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