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88E30" w14:textId="2C8F9341" w:rsidR="00E522EE" w:rsidRPr="00E522EE" w:rsidRDefault="00E522EE" w:rsidP="00E522EE">
      <w:pPr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Workflow Summary (All Companies)</w:t>
      </w:r>
    </w:p>
    <w:p w14:paraId="3AABBC53" w14:textId="77777777" w:rsidR="00E522EE" w:rsidRDefault="00E522EE" w:rsidP="00E522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Data Source &amp; Structure:</w:t>
      </w:r>
    </w:p>
    <w:p w14:paraId="2FD8D90A" w14:textId="77777777" w:rsidR="00E522EE" w:rsidRDefault="00E522EE" w:rsidP="00E522EE">
      <w:pPr>
        <w:pStyle w:val="ListParagraph"/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Each notebook processes quarterly media sentiment articles, split by Excel sheets per quarter.</w:t>
      </w:r>
    </w:p>
    <w:p w14:paraId="0FF420DE" w14:textId="5630F94D" w:rsidR="00E522EE" w:rsidRPr="00E522EE" w:rsidRDefault="00E522EE" w:rsidP="00E522EE">
      <w:pPr>
        <w:pStyle w:val="ListParagraph"/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Sentiment is extracted (Positive, Negative, Neutral), and compared against quarterly EPS surprise direction.</w:t>
      </w:r>
    </w:p>
    <w:p w14:paraId="52150871" w14:textId="77777777" w:rsidR="00E522EE" w:rsidRDefault="00E522EE" w:rsidP="00E522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EPS Surprise Definition:</w:t>
      </w:r>
    </w:p>
    <w:p w14:paraId="5A6E6183" w14:textId="77777777" w:rsidR="00E522EE" w:rsidRDefault="00E522EE" w:rsidP="00E522EE">
      <w:pPr>
        <w:pStyle w:val="ListParagraph"/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If reported EPS is greater than forecasted EPS → Positive sentiment expected.</w:t>
      </w:r>
    </w:p>
    <w:p w14:paraId="7B3EBB37" w14:textId="77777777" w:rsidR="00E522EE" w:rsidRDefault="00E522EE" w:rsidP="00E522EE">
      <w:pPr>
        <w:pStyle w:val="ListParagraph"/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If reported EPS is less than forecasted EPS → Negative sentiment expected.</w:t>
      </w:r>
    </w:p>
    <w:p w14:paraId="3B8083A8" w14:textId="77777777" w:rsidR="00E522EE" w:rsidRDefault="00E522EE" w:rsidP="00E522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Contrarian Detection:</w:t>
      </w:r>
    </w:p>
    <w:p w14:paraId="72EE632F" w14:textId="77777777" w:rsidR="00E522EE" w:rsidRDefault="00E522EE" w:rsidP="00E522EE">
      <w:pPr>
        <w:pStyle w:val="ListParagraph"/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Sentiment alignment is checked: article sentiment == EPS surprise sentiment.</w:t>
      </w:r>
    </w:p>
    <w:p w14:paraId="4B7285FC" w14:textId="77777777" w:rsidR="00E522EE" w:rsidRDefault="00E522EE" w:rsidP="00E522EE">
      <w:pPr>
        <w:pStyle w:val="ListParagraph"/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Articles are classified as:</w:t>
      </w:r>
    </w:p>
    <w:p w14:paraId="10025EE4" w14:textId="77777777" w:rsidR="00E522EE" w:rsidRDefault="00E522EE" w:rsidP="00E522EE">
      <w:pPr>
        <w:pStyle w:val="ListParagraph"/>
        <w:ind w:firstLine="720"/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Aligned (correct prediction)</w:t>
      </w:r>
    </w:p>
    <w:p w14:paraId="09FD27E7" w14:textId="77777777" w:rsidR="00E522EE" w:rsidRDefault="00E522EE" w:rsidP="00E522EE">
      <w:pPr>
        <w:pStyle w:val="ListParagraph"/>
        <w:ind w:firstLine="720"/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Contrarian (opposite of EPS)</w:t>
      </w:r>
    </w:p>
    <w:p w14:paraId="78402F4F" w14:textId="77777777" w:rsidR="00E522EE" w:rsidRDefault="00E522EE" w:rsidP="00E522EE">
      <w:pPr>
        <w:pStyle w:val="ListParagraph"/>
        <w:ind w:firstLine="720"/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Alignment percentage is calculated by quarter.</w:t>
      </w:r>
    </w:p>
    <w:p w14:paraId="095AC6B7" w14:textId="77777777" w:rsidR="00E522EE" w:rsidRDefault="00E522EE" w:rsidP="00E522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Visualization:</w:t>
      </w:r>
    </w:p>
    <w:p w14:paraId="76AAD8DE" w14:textId="2B8E3382" w:rsidR="00E522EE" w:rsidRPr="00E522EE" w:rsidRDefault="00E522EE" w:rsidP="00E522EE">
      <w:pPr>
        <w:pStyle w:val="ListParagraph"/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Bar chart showing the percentage of sentiment correctly predicting the earnings surprise by quarter.</w:t>
      </w:r>
    </w:p>
    <w:p w14:paraId="134EAC38" w14:textId="77777777" w:rsidR="00E522EE" w:rsidRPr="00E522EE" w:rsidRDefault="00E522EE" w:rsidP="00E522EE">
      <w:pPr>
        <w:rPr>
          <w:rFonts w:ascii="Times New Roman" w:hAnsi="Times New Roman" w:cs="Times New Roman"/>
        </w:rPr>
      </w:pPr>
    </w:p>
    <w:p w14:paraId="2C0818BC" w14:textId="26E77D70" w:rsidR="00E522EE" w:rsidRPr="00E522EE" w:rsidRDefault="00E522EE" w:rsidP="00E522EE">
      <w:pPr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Company-Level Conclusions</w:t>
      </w:r>
    </w:p>
    <w:p w14:paraId="433B80E3" w14:textId="2601004F" w:rsidR="00E522EE" w:rsidRDefault="00E522EE" w:rsidP="00E522EE">
      <w:pPr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Apple</w:t>
      </w:r>
    </w:p>
    <w:p w14:paraId="53E8D35A" w14:textId="77777777" w:rsidR="00E522EE" w:rsidRDefault="00E522EE" w:rsidP="00E522EE">
      <w:pPr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Observation: Very low or 0% sentiment alignment in most quarters.</w:t>
      </w:r>
    </w:p>
    <w:p w14:paraId="7629BC83" w14:textId="23FA49AA" w:rsidR="00E522EE" w:rsidRDefault="00E522EE" w:rsidP="00E522EE">
      <w:pPr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Conclusion: Media sentiment on Apple tends to lag or contradict EPS movements, suggesting media may not be a reliable predictor for Apple’s performance.</w:t>
      </w:r>
    </w:p>
    <w:p w14:paraId="2E2E1065" w14:textId="77777777" w:rsidR="00E522EE" w:rsidRPr="00E522EE" w:rsidRDefault="00E522EE" w:rsidP="00E522EE">
      <w:pPr>
        <w:rPr>
          <w:rFonts w:ascii="Times New Roman" w:hAnsi="Times New Roman" w:cs="Times New Roman"/>
        </w:rPr>
      </w:pPr>
    </w:p>
    <w:p w14:paraId="26518F61" w14:textId="4EFCB93E" w:rsidR="00E522EE" w:rsidRPr="00E522EE" w:rsidRDefault="00E522EE" w:rsidP="00E522EE">
      <w:pPr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ExxonMobil</w:t>
      </w:r>
    </w:p>
    <w:p w14:paraId="21F64B5D" w14:textId="595CF460" w:rsidR="00E522EE" w:rsidRPr="00E522EE" w:rsidRDefault="00E522EE" w:rsidP="00E522EE">
      <w:pPr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Observation: Only Q1 2025 showed any alignment (~77%); all other quarters had 0% alignment.</w:t>
      </w:r>
    </w:p>
    <w:p w14:paraId="00B6016F" w14:textId="6BA4061A" w:rsidR="00E522EE" w:rsidRPr="00E522EE" w:rsidRDefault="00E522EE" w:rsidP="00E522EE">
      <w:pPr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Conclusion: Sentiment in energy-related articles appears to frequently misalign with ExxonMobil’s earnings — potentially due to environmental or geopolitical bias in coverage.</w:t>
      </w:r>
    </w:p>
    <w:p w14:paraId="6161C036" w14:textId="77777777" w:rsidR="00E522EE" w:rsidRPr="00E522EE" w:rsidRDefault="00E522EE" w:rsidP="00E522EE">
      <w:pPr>
        <w:rPr>
          <w:rFonts w:ascii="Times New Roman" w:hAnsi="Times New Roman" w:cs="Times New Roman"/>
        </w:rPr>
      </w:pPr>
    </w:p>
    <w:p w14:paraId="7E17BCFE" w14:textId="5D436227" w:rsidR="00E522EE" w:rsidRPr="00E522EE" w:rsidRDefault="00E522EE" w:rsidP="00E522EE">
      <w:pPr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NVIDIA</w:t>
      </w:r>
    </w:p>
    <w:p w14:paraId="6FBA5EB9" w14:textId="4BE2F3C3" w:rsidR="00E522EE" w:rsidRPr="00E522EE" w:rsidRDefault="00E522EE" w:rsidP="00E522EE">
      <w:pPr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Observation: Strong alignment in recent quarters, especially during high EPS beats.</w:t>
      </w:r>
    </w:p>
    <w:p w14:paraId="72B68353" w14:textId="1618D9E6" w:rsidR="00E522EE" w:rsidRDefault="00E522EE" w:rsidP="00E522EE">
      <w:pPr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lastRenderedPageBreak/>
        <w:t>Conclusion: Tech media sentiment tracks well with NVIDIA’s performance, possibly reflecting stronger market responsiveness and coverage in the semiconductor space.</w:t>
      </w:r>
    </w:p>
    <w:p w14:paraId="13782E06" w14:textId="77777777" w:rsidR="00E522EE" w:rsidRPr="00E522EE" w:rsidRDefault="00E522EE" w:rsidP="00E522EE">
      <w:pPr>
        <w:rPr>
          <w:rFonts w:ascii="Times New Roman" w:hAnsi="Times New Roman" w:cs="Times New Roman"/>
        </w:rPr>
      </w:pPr>
    </w:p>
    <w:p w14:paraId="5ED909D3" w14:textId="4F3AD240" w:rsidR="00E522EE" w:rsidRPr="00E522EE" w:rsidRDefault="00E522EE" w:rsidP="00E522EE">
      <w:pPr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Pfizer</w:t>
      </w:r>
    </w:p>
    <w:p w14:paraId="475ADB76" w14:textId="3FA6234B" w:rsidR="00E522EE" w:rsidRPr="00E522EE" w:rsidRDefault="00E522EE" w:rsidP="00E522EE">
      <w:pPr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Observation: Mixed alignment — some quarters show strong alignment, others weak or none.</w:t>
      </w:r>
    </w:p>
    <w:p w14:paraId="677B5C37" w14:textId="77777777" w:rsidR="00E522EE" w:rsidRDefault="00E522EE" w:rsidP="00E522EE">
      <w:pPr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Conclusion: Media sentiment around healthcare is less predictable, possibly due to lag in news reacting to clinical or regulatory events not directly tied to earnings.</w:t>
      </w:r>
    </w:p>
    <w:p w14:paraId="0D373C3C" w14:textId="77777777" w:rsidR="00E522EE" w:rsidRDefault="00E522EE" w:rsidP="00E522EE">
      <w:pPr>
        <w:rPr>
          <w:rFonts w:ascii="Times New Roman" w:hAnsi="Times New Roman" w:cs="Times New Roman"/>
        </w:rPr>
      </w:pPr>
    </w:p>
    <w:p w14:paraId="5D14B02B" w14:textId="028D991A" w:rsidR="00E522EE" w:rsidRPr="00E522EE" w:rsidRDefault="00E522EE" w:rsidP="00E522EE">
      <w:pPr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Walmart</w:t>
      </w:r>
    </w:p>
    <w:p w14:paraId="7DB73829" w14:textId="17077443" w:rsidR="00E522EE" w:rsidRPr="00E522EE" w:rsidRDefault="00E522EE" w:rsidP="00E522EE">
      <w:pPr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Observation: Generally moderate alignment, no quarter reached 100%.</w:t>
      </w:r>
    </w:p>
    <w:p w14:paraId="2A042DF8" w14:textId="6E15572D" w:rsidR="00E522EE" w:rsidRPr="00E522EE" w:rsidRDefault="00E522EE" w:rsidP="00E522EE">
      <w:pPr>
        <w:rPr>
          <w:rFonts w:ascii="Times New Roman" w:hAnsi="Times New Roman" w:cs="Times New Roman"/>
        </w:rPr>
      </w:pPr>
      <w:r w:rsidRPr="00E522EE">
        <w:rPr>
          <w:rFonts w:ascii="Times New Roman" w:hAnsi="Times New Roman" w:cs="Times New Roman"/>
        </w:rPr>
        <w:t>Conclusion: Retail sector coverage offers some predictive value, but consumer sentiment or macro trends may distort direct earnings prediction.</w:t>
      </w:r>
    </w:p>
    <w:sectPr w:rsidR="00E522EE" w:rsidRPr="00E522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5986"/>
    <w:multiLevelType w:val="hybridMultilevel"/>
    <w:tmpl w:val="FB00B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876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EE"/>
    <w:rsid w:val="00D04C9D"/>
    <w:rsid w:val="00E5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792A47"/>
  <w15:chartTrackingRefBased/>
  <w15:docId w15:val="{96C9CA70-AC67-D54E-949F-633D06969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Jiazhi Wang</dc:creator>
  <cp:keywords/>
  <dc:description/>
  <cp:lastModifiedBy>Jiazhi Wang</cp:lastModifiedBy>
  <cp:revision>1</cp:revision>
  <dcterms:created xsi:type="dcterms:W3CDTF">2025-05-30T05:46:00Z</dcterms:created>
  <dcterms:modified xsi:type="dcterms:W3CDTF">2025-05-30T05:48:00Z</dcterms:modified>
</cp:coreProperties>
</file>