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6.8085106382979"/>
        <w:gridCol w:w="1481.1702127659576"/>
        <w:gridCol w:w="1356.7021276595744"/>
        <w:gridCol w:w="1593.1914893617022"/>
        <w:gridCol w:w="1593.1914893617022"/>
        <w:gridCol w:w="1294.4680851063831"/>
        <w:gridCol w:w="1294.4680851063831"/>
        <w:tblGridChange w:id="0">
          <w:tblGrid>
            <w:gridCol w:w="746.8085106382979"/>
            <w:gridCol w:w="1481.1702127659576"/>
            <w:gridCol w:w="1356.7021276595744"/>
            <w:gridCol w:w="1593.1914893617022"/>
            <w:gridCol w:w="1593.1914893617022"/>
            <w:gridCol w:w="1294.4680851063831"/>
            <w:gridCol w:w="1294.468085106383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Introduced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Limitations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PU-Net: Point Cloud Upsampling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IEEE CVPR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Deep patch-based upsampling, joint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Visionair (custom), SHREC15, ModelNet40, ShapeNet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 large hole completion; struggles with tiny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S4R: Rethinking Point Cloud Sampling via Guiding Upsampling-Aware Perception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IEEE Transactions on 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MAP-driven sampling for reconstructability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S4R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ModelNet40, ScanObjectNN, ShapeNet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Performance drops with aggressive sampling; retraining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Geometric Detail-Preserved Point Cloud Upsampling via a Feature Enhanced Self-Supervised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MDPI Applied Sciences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Feature enhancement, 3D noise perturbation, self-supervised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SSPU-FE 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ESB CAD, PU-147, ModelNet40, PU1K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Struggles with real-world noise/incomplete data;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AConditional Denoising Diffusion Probabilistic Model for Point Cloud Upsampling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IEEE CVPR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Conditional denoising diffusion probabilistic model(DDPM); dual mapping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PU1K, PU-147; KITTI, ScanNet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Auto-regressive DDPM; non-Gaussian noise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PU-Mask: 3D Point Cloud Upsampling via an Implicit Virtual 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widowControl w:val="0"/>
              <w:spacing w:after="80"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bookmarkStart w:colFirst="0" w:colLast="0" w:name="_65qe3smz3xtf" w:id="0"/>
            <w:bookmarkEnd w:id="0"/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IEEE TCSVT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Upsampling as a local filling task using a virtual masking 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Novel mask-guided transformer-style asymmetric autoencoder (MTAA)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PU-147; PU1K, ModelNet40,KITTI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Method presently depends on paired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RepKPU: Point Cloud Upsampling with Kernel Point Representation and Deformation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IEEE CVPR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RepKPoints (density-sensitive, position-adaptive), Kernel-to-Displacement generation paradigm, and cross-attention for effective point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RepKPU based on KPConv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PU-147,PU1K, ScanObjectNN,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highly noisy or irregular real-scanned point clouds;Fixed-scale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LiGAPU: A LiDAR point cloud upsampling network for multiple complex scenes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Science Direct Pattern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geometry-aware network for LiDAR upsampling, using Dual-stream Gating Convolution (DGConv) and Gaussian-feature Attention Spatial module (GCS)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LiGAPU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PU-147,PU1K, KITTI, DALES,LiULI, QZ-Mangrove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Requires point-to-point supervised annotation and precise ground truth;redundant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Point Cloud Upsampling for Accurate Surface Reconstruction via Attention-Guided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IEEE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Attention-guided upsampling network combining an adaptive query generation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Surf-PU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PU-147,PU1K, ShapeNetCore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adjustment of attention-based weighting factor ; Tuning coefficient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Arbitrary‐Scale Point Cloud Upsampling via Enhanced Geometric Spatial Consistency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1c1d1e"/>
                <w:sz w:val="21"/>
                <w:szCs w:val="21"/>
                <w:highlight w:val="white"/>
                <w:rtl w:val="0"/>
              </w:rPr>
              <w:t xml:space="preserve">CAAI Transactions on Intelligence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improves geometric and structural consistency at arbitrary upsampling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SCPU (spatial-consistent upsampling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PU-147,PU1K, KITTI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multi-component loss and feature fusion; less accurate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HVPUNet: Hybrid-Voxel Point-cloud Upsampling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ICCV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combines discrete occupancy and continuous voxel-wise offsets; computationally efficient upsampling and supports surface normal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HVPUNet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PU-147,PU1K, KITTI, ScanNetNN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does not directly compare with fixed-scale upsamplers due to dynamic upsampling factor; surface mesh extraction remains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Log(Loss)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Chamfer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HD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P2F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F1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Accuracy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PU-147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PU1K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S4R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SSPU-FE 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LiGAPU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RepKPU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SurfPU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HVPU-Net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PU-Mask(MTAA)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