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4F7E1">
      <w:pPr>
        <w:pStyle w:val="15"/>
        <w:spacing w:after="80"/>
      </w:pPr>
      <w:r>
        <w:t>LifeBack Depression Screening Web App</w:t>
      </w:r>
    </w:p>
    <w:p w14:paraId="78B33C1E">
      <w:pPr>
        <w:pStyle w:val="3"/>
        <w:spacing w:after="250"/>
      </w:pPr>
      <w:r>
        <w:t>ML Workstream — Progress Summary</w:t>
      </w:r>
    </w:p>
    <w:p w14:paraId="3289213E">
      <w:pPr>
        <w:pBdr>
          <w:bottom w:val="single" w:color="AAAAAA" w:sz="6" w:space="1"/>
        </w:pBdr>
        <w:spacing w:after="200"/>
      </w:pPr>
    </w:p>
    <w:p w14:paraId="61E0D583">
      <w:pPr>
        <w:pStyle w:val="2"/>
        <w:spacing w:before="300" w:after="150"/>
      </w:pPr>
      <w:r>
        <w:t>1. Where We Are</w:t>
      </w:r>
    </w:p>
    <w:p w14:paraId="6C4971E2">
      <w:pPr>
        <w:spacing w:after="120"/>
      </w:pPr>
      <w:r>
        <w:t>The ML side of Phase 1 (text-only depression screening) is functionally complete and tested, up to the point where two external inputs are needed before the remaining pieces can be finished: clinical sign-off on the scoring mapping from Anupama ma'am, and Sakshi's coverage/agreement analysis. Everything that didn't depend on those has been built, tested, and merged.</w:t>
      </w:r>
    </w:p>
    <w:p w14:paraId="7396469C">
      <w:pPr>
        <w:pStyle w:val="2"/>
        <w:spacing w:before="300" w:after="150"/>
      </w:pPr>
      <w:r>
        <w:t>2. What's Been Built</w:t>
      </w:r>
    </w:p>
    <w:p w14:paraId="02480591">
      <w:pPr>
        <w:pStyle w:val="3"/>
        <w:spacing w:before="220" w:after="100"/>
      </w:pPr>
      <w:r>
        <w:t>2.1 Question Set</w:t>
      </w:r>
    </w:p>
    <w:p w14:paraId="6736238A">
      <w:pPr>
        <w:pStyle w:val="16"/>
        <w:numPr>
          <w:ilvl w:val="0"/>
          <w:numId w:val="1"/>
        </w:numPr>
        <w:spacing w:after="70"/>
      </w:pPr>
      <w:r>
        <w:t>Received the full 150-question clinical interview bank from Anupama ma'am (covers depression, bipolar, anxiety/OCD/PTSD, psychosis, substance use, personal/family history, MSE, and diagnostic synthesis — 14 sections total).</w:t>
      </w:r>
    </w:p>
    <w:p w14:paraId="181D6E0F">
      <w:pPr>
        <w:pStyle w:val="16"/>
        <w:numPr>
          <w:ilvl w:val="0"/>
          <w:numId w:val="1"/>
        </w:numPr>
        <w:spacing w:after="70"/>
      </w:pPr>
      <w:r>
        <w:t>Mapped all 150 questions to their clinical domains and screening relevance in a working spreadsheet, to identify which sections actually matter for a depression + anxiety screening tool.</w:t>
      </w:r>
    </w:p>
    <w:p w14:paraId="1002313D">
      <w:pPr>
        <w:pStyle w:val="16"/>
        <w:numPr>
          <w:ilvl w:val="0"/>
          <w:numId w:val="1"/>
        </w:numPr>
        <w:spacing w:after="70"/>
      </w:pPr>
      <w:r>
        <w:t>Narrowed to a 55-question candidate pool (HAM-D/BDI core, HAM-A core, context, and safety-critical risk items only — excluded bipolar, psychosis, substance use, and clinician-only MSE/diagnostic items as out of scope for this tool).</w:t>
      </w:r>
    </w:p>
    <w:p w14:paraId="046DDA9B">
      <w:pPr>
        <w:pStyle w:val="16"/>
        <w:numPr>
          <w:ilvl w:val="0"/>
          <w:numId w:val="1"/>
        </w:numPr>
        <w:spacing w:after="70"/>
      </w:pPr>
      <w:r>
        <w:t>Locked the final 30-question set: 18 HAM-D/BDI c</w:t>
      </w:r>
      <w:bookmarkStart w:id="0" w:name="_GoBack"/>
      <w:bookmarkEnd w:id="0"/>
      <w:r>
        <w:t>ore items, 6 context/framing questions, 4 HAM-A items, and 2 risk/safety items.</w:t>
      </w:r>
    </w:p>
    <w:p w14:paraId="0019D388">
      <w:pPr>
        <w:pStyle w:val="3"/>
        <w:spacing w:before="220" w:after="100"/>
      </w:pPr>
      <w:r>
        <w:t>2.2 Clinical Scoring Mapping (draft, pending review)</w:t>
      </w:r>
    </w:p>
    <w:p w14:paraId="760DD6F2">
      <w:pPr>
        <w:pStyle w:val="16"/>
        <w:numPr>
          <w:ilvl w:val="0"/>
          <w:numId w:val="1"/>
        </w:numPr>
        <w:spacing w:after="70"/>
      </w:pPr>
      <w:r>
        <w:t>Drafted a mapping of each of the 30 questions to its corresponding HAM-D-17 / HAM-A-14 / BDI-II item, with proposed scoring guidance.</w:t>
      </w:r>
    </w:p>
    <w:p w14:paraId="6E3F2D3E">
      <w:pPr>
        <w:pStyle w:val="16"/>
        <w:numPr>
          <w:ilvl w:val="0"/>
          <w:numId w:val="1"/>
        </w:numPr>
        <w:spacing w:after="70"/>
      </w:pPr>
      <w:r>
        <w:t>Flagged several judgment calls that need clinical sign-off rather than engineering judgment — partial HAM-A coverage (4 of 14 items), a few DSM-5 specifier questions that don't map to any scored item, and how one-to-many item mappings (e.g. sleep splitting into 3 separate insomnia items) should be handled.</w:t>
      </w:r>
    </w:p>
    <w:p w14:paraId="785262D4">
      <w:pPr>
        <w:pStyle w:val="16"/>
        <w:numPr>
          <w:ilvl w:val="0"/>
          <w:numId w:val="1"/>
        </w:numPr>
        <w:spacing w:after="70"/>
      </w:pPr>
      <w:r>
        <w:t>Sent to Anupama ma'am for review, along with the risk-item handling protocol (suicidality/self-harm questions are kept out of the numeric score and surfaced as standalone flags instead).</w:t>
      </w:r>
    </w:p>
    <w:p w14:paraId="5EA7E83A">
      <w:pPr>
        <w:pStyle w:val="3"/>
        <w:spacing w:before="220" w:after="100"/>
      </w:pPr>
      <w:r>
        <w:t>2.3 Repository &amp; Engineering Setup</w:t>
      </w:r>
    </w:p>
    <w:p w14:paraId="164058D6">
      <w:pPr>
        <w:pStyle w:val="16"/>
        <w:numPr>
          <w:ilvl w:val="0"/>
          <w:numId w:val="1"/>
        </w:numPr>
        <w:spacing w:after="70"/>
      </w:pPr>
      <w:r>
        <w:t>New GitHub repo, separate from the existing voice-screening (LifeBack multi-view) repo, to avoid mixing the two codebases.</w:t>
      </w:r>
    </w:p>
    <w:p w14:paraId="142FE485">
      <w:pPr>
        <w:pStyle w:val="16"/>
        <w:numPr>
          <w:ilvl w:val="0"/>
          <w:numId w:val="1"/>
        </w:numPr>
        <w:spacing w:after="70"/>
      </w:pPr>
      <w:r>
        <w:t>Proper branching workflow in place: main → dev → feature branches, with every change going through a pull request even while working solo — same habit will carry over once the team is onboarded.</w:t>
      </w:r>
    </w:p>
    <w:p w14:paraId="012EBD54">
      <w:pPr>
        <w:pStyle w:val="3"/>
        <w:spacing w:before="220" w:after="100"/>
      </w:pPr>
      <w:r>
        <w:t>2.4 LLM Ensemble (screening engine)</w:t>
      </w:r>
    </w:p>
    <w:p w14:paraId="1DC45328">
      <w:pPr>
        <w:pStyle w:val="16"/>
        <w:numPr>
          <w:ilvl w:val="0"/>
          <w:numId w:val="1"/>
        </w:numPr>
        <w:spacing w:after="70"/>
      </w:pPr>
      <w:r>
        <w:t>3-model ensemble: two models hosted on Groq (OpenAI's open-weight GPT-OSS-120B and Alibaba's Qwen3.6-27B) plus Google's Gemini 3.5 Flash — chosen for genuine training-lineage diversity so that model agreement actually means something, not just three similar models agreeing with each other.</w:t>
      </w:r>
    </w:p>
    <w:p w14:paraId="4F51241F">
      <w:pPr>
        <w:pStyle w:val="16"/>
        <w:numPr>
          <w:ilvl w:val="0"/>
          <w:numId w:val="1"/>
        </w:numPr>
        <w:spacing w:after="70"/>
      </w:pPr>
      <w:r>
        <w:t>Majority-vote aggregation with two deliberately conservative safety rules:</w:t>
      </w:r>
    </w:p>
    <w:p w14:paraId="440D290E">
      <w:pPr>
        <w:pStyle w:val="16"/>
        <w:numPr>
          <w:ilvl w:val="1"/>
          <w:numId w:val="1"/>
        </w:numPr>
        <w:spacing w:after="60"/>
      </w:pPr>
      <w:r>
        <w:t>Risk flags (suicidality/self-harm/hopelessness content) are OR'd across all 3 models — a flag from even one model surfaces regardless of what the other two say.</w:t>
      </w:r>
    </w:p>
    <w:p w14:paraId="3A6EB06E">
      <w:pPr>
        <w:pStyle w:val="16"/>
        <w:numPr>
          <w:ilvl w:val="1"/>
          <w:numId w:val="1"/>
        </w:numPr>
        <w:spacing w:after="60"/>
      </w:pPr>
      <w:r>
        <w:t>A non-majority result (e.g. after a model failure) falls back to "insufficient information" rather than guessing.</w:t>
      </w:r>
    </w:p>
    <w:p w14:paraId="1F0FD543">
      <w:pPr>
        <w:pStyle w:val="16"/>
        <w:numPr>
          <w:ilvl w:val="0"/>
          <w:numId w:val="1"/>
        </w:numPr>
        <w:spacing w:after="70"/>
      </w:pPr>
      <w:r>
        <w:t>Tested against mock data, live APIs, sparse answers, full 30-question sessions, and realistic mixed clinical presentations — all passing.</w:t>
      </w:r>
    </w:p>
    <w:p w14:paraId="59F6B096">
      <w:pPr>
        <w:pStyle w:val="16"/>
        <w:numPr>
          <w:ilvl w:val="0"/>
          <w:numId w:val="1"/>
        </w:numPr>
        <w:spacing w:after="70"/>
      </w:pPr>
      <w:r>
        <w:t>Resolved three real reliability issues found during testing: a deprecated Groq model, inconsistent JSON output from one model, and a Gemini-specific issue where internal "thinking" tokens were consuming the entire output budget before the model could produce an answer. All three are documented in the code so they don't get rediscovered.</w:t>
      </w:r>
    </w:p>
    <w:p w14:paraId="1CC7D710">
      <w:pPr>
        <w:pStyle w:val="3"/>
        <w:spacing w:before="220" w:after="100"/>
      </w:pPr>
      <w:r>
        <w:t>2.5 Report Generation</w:t>
      </w:r>
    </w:p>
    <w:p w14:paraId="285FB992">
      <w:pPr>
        <w:pStyle w:val="16"/>
        <w:numPr>
          <w:ilvl w:val="0"/>
          <w:numId w:val="1"/>
        </w:numPr>
        <w:spacing w:after="70"/>
      </w:pPr>
      <w:r>
        <w:t>Produces a clinician-facing report from the ensemble's output: overall judgment, confidence, model agreement level, and evidence quoting the patient's actual answers (not just a generic conclusion).</w:t>
      </w:r>
    </w:p>
    <w:p w14:paraId="776EA571">
      <w:pPr>
        <w:pStyle w:val="16"/>
        <w:numPr>
          <w:ilvl w:val="0"/>
          <w:numId w:val="1"/>
        </w:numPr>
        <w:spacing w:after="70"/>
      </w:pPr>
      <w:r>
        <w:t>Risk-flagged content is surfaced prominently at the top of the report regardless of the overall judgment.</w:t>
      </w:r>
    </w:p>
    <w:p w14:paraId="7CEFB1EA">
      <w:pPr>
        <w:pStyle w:val="16"/>
        <w:numPr>
          <w:ilvl w:val="0"/>
          <w:numId w:val="1"/>
        </w:numPr>
        <w:spacing w:after="70"/>
      </w:pPr>
      <w:r>
        <w:t>HAM-D/HAM-A/BDI numeric scores are explicitly marked "pending clinical review" rather than silently left blank — this section activates once Anupama ma'am's review is back and the scoring module is built.</w:t>
      </w:r>
    </w:p>
    <w:p w14:paraId="3B2DAAA3">
      <w:pPr>
        <w:pStyle w:val="3"/>
        <w:spacing w:before="220" w:after="100"/>
      </w:pPr>
      <w:r>
        <w:t>2.6 API</w:t>
      </w:r>
    </w:p>
    <w:p w14:paraId="09600D5C">
      <w:pPr>
        <w:pStyle w:val="16"/>
        <w:numPr>
          <w:ilvl w:val="0"/>
          <w:numId w:val="1"/>
        </w:numPr>
        <w:spacing w:after="70"/>
      </w:pPr>
      <w:r>
        <w:t>FastAPI service with /health, /questions, and /screen endpoints — the real ensemble and report generation are wired in, not mocked.</w:t>
      </w:r>
    </w:p>
    <w:p w14:paraId="3D117861">
      <w:pPr>
        <w:pStyle w:val="16"/>
        <w:numPr>
          <w:ilvl w:val="0"/>
          <w:numId w:val="1"/>
        </w:numPr>
        <w:spacing w:after="70"/>
      </w:pPr>
      <w:r>
        <w:t>The API contract (request/response shape) was shared early with Shreya so backend integration could start in parallel rather than waiting on the ML logic to be finished.</w:t>
      </w:r>
    </w:p>
    <w:p w14:paraId="544070C0">
      <w:pPr>
        <w:pStyle w:val="16"/>
        <w:numPr>
          <w:ilvl w:val="0"/>
          <w:numId w:val="1"/>
        </w:numPr>
        <w:spacing w:after="70"/>
      </w:pPr>
      <w:r>
        <w:t>Partial ensemble failures degrade gracefully (still returns a valid result); total failures return a clear error rather than a silently broken response.</w:t>
      </w:r>
    </w:p>
    <w:p w14:paraId="132CDFE3">
      <w:pPr>
        <w:pStyle w:val="3"/>
        <w:spacing w:before="220" w:after="100"/>
      </w:pPr>
      <w:r>
        <w:t>2.7 Testing &amp; Documentation</w:t>
      </w:r>
    </w:p>
    <w:p w14:paraId="3EDE3D73">
      <w:pPr>
        <w:pStyle w:val="16"/>
        <w:numPr>
          <w:ilvl w:val="0"/>
          <w:numId w:val="1"/>
        </w:numPr>
        <w:spacing w:after="70"/>
      </w:pPr>
      <w:r>
        <w:t>26 automated tests covering the ensemble voting logic, JSON parsing edge cases, report generation, and the API layer — all run without needing real API keys, so they're fast and free to run before every merge.</w:t>
      </w:r>
    </w:p>
    <w:p w14:paraId="15B7593B">
      <w:pPr>
        <w:pStyle w:val="16"/>
        <w:numPr>
          <w:ilvl w:val="0"/>
          <w:numId w:val="1"/>
        </w:numPr>
        <w:spacing w:after="70"/>
      </w:pPr>
      <w:r>
        <w:t>A README documenting setup, the API contract, what's done vs. blocked, and the specific technical issues encountered during development, for handoff to the team once the repo is shared.</w:t>
      </w:r>
    </w:p>
    <w:p w14:paraId="2988636D">
      <w:pPr>
        <w:pStyle w:val="2"/>
        <w:spacing w:before="300" w:after="150"/>
      </w:pPr>
      <w:r>
        <w:t>3. What's Currently Blocked</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200"/>
        <w:gridCol w:w="2100"/>
      </w:tblGrid>
      <w:tr w14:paraId="4714E3F5">
        <w:trPr>
          <w:tblHeader/>
        </w:trPr>
        <w:tc>
          <w:tcPr>
            <w:tcW w:w="3200" w:type="dxa"/>
            <w:shd w:val="clear" w:color="auto" w:fill="2E5C8A"/>
            <w:tcMar>
              <w:top w:w="80" w:type="dxa"/>
              <w:left w:w="100" w:type="dxa"/>
              <w:bottom w:w="80" w:type="dxa"/>
              <w:right w:w="100" w:type="dxa"/>
            </w:tcMar>
          </w:tcPr>
          <w:p w14:paraId="77575FEC">
            <w:r>
              <w:rPr>
                <w:b/>
                <w:bCs/>
              </w:rPr>
              <w:t>Item</w:t>
            </w:r>
          </w:p>
        </w:tc>
        <w:tc>
          <w:tcPr>
            <w:tcW w:w="4200" w:type="dxa"/>
            <w:shd w:val="clear" w:color="auto" w:fill="2E5C8A"/>
            <w:tcMar>
              <w:top w:w="80" w:type="dxa"/>
              <w:left w:w="100" w:type="dxa"/>
              <w:bottom w:w="80" w:type="dxa"/>
              <w:right w:w="100" w:type="dxa"/>
            </w:tcMar>
          </w:tcPr>
          <w:p w14:paraId="0DB90D20">
            <w:r>
              <w:rPr>
                <w:b/>
                <w:bCs/>
              </w:rPr>
              <w:t>Blocked on</w:t>
            </w:r>
          </w:p>
        </w:tc>
        <w:tc>
          <w:tcPr>
            <w:tcW w:w="2100" w:type="dxa"/>
            <w:shd w:val="clear" w:color="auto" w:fill="2E5C8A"/>
            <w:tcMar>
              <w:top w:w="80" w:type="dxa"/>
              <w:left w:w="100" w:type="dxa"/>
              <w:bottom w:w="80" w:type="dxa"/>
              <w:right w:w="100" w:type="dxa"/>
            </w:tcMar>
          </w:tcPr>
          <w:p w14:paraId="7102CE66">
            <w:r>
              <w:rPr>
                <w:b/>
                <w:bCs/>
              </w:rPr>
              <w:t>Owner</w:t>
            </w:r>
          </w:p>
        </w:tc>
      </w:tr>
      <w:tr w14:paraId="4A94B938">
        <w:tc>
          <w:tcPr>
            <w:tcW w:w="3200" w:type="dxa"/>
            <w:shd w:val="clear" w:color="auto" w:fill="FCE4D6"/>
            <w:tcMar>
              <w:top w:w="80" w:type="dxa"/>
              <w:left w:w="100" w:type="dxa"/>
              <w:bottom w:w="80" w:type="dxa"/>
              <w:right w:w="100" w:type="dxa"/>
            </w:tcMar>
          </w:tcPr>
          <w:p w14:paraId="594E2C0D">
            <w:r>
              <w:rPr>
                <w:b w:val="0"/>
                <w:bCs w:val="0"/>
              </w:rPr>
              <w:t>HAM-D/HAM-A/BDI numeric scoring module</w:t>
            </w:r>
          </w:p>
        </w:tc>
        <w:tc>
          <w:tcPr>
            <w:tcW w:w="4200" w:type="dxa"/>
            <w:tcMar>
              <w:top w:w="80" w:type="dxa"/>
              <w:left w:w="100" w:type="dxa"/>
              <w:bottom w:w="80" w:type="dxa"/>
              <w:right w:w="100" w:type="dxa"/>
            </w:tcMar>
          </w:tcPr>
          <w:p w14:paraId="3E3C2669">
            <w:r>
              <w:rPr>
                <w:b w:val="0"/>
                <w:bCs w:val="0"/>
              </w:rPr>
              <w:t>Anupama ma'am's clinical review of the draft mapping</w:t>
            </w:r>
          </w:p>
        </w:tc>
        <w:tc>
          <w:tcPr>
            <w:tcW w:w="2100" w:type="dxa"/>
            <w:tcMar>
              <w:top w:w="80" w:type="dxa"/>
              <w:left w:w="100" w:type="dxa"/>
              <w:bottom w:w="80" w:type="dxa"/>
              <w:right w:w="100" w:type="dxa"/>
            </w:tcMar>
          </w:tcPr>
          <w:p w14:paraId="324D8A67">
            <w:r>
              <w:rPr>
                <w:b w:val="0"/>
                <w:bCs w:val="0"/>
              </w:rPr>
              <w:t>Tejwant (once review is back)</w:t>
            </w:r>
          </w:p>
        </w:tc>
      </w:tr>
      <w:tr w14:paraId="0AB1D55B">
        <w:tc>
          <w:tcPr>
            <w:tcW w:w="3200" w:type="dxa"/>
            <w:shd w:val="clear" w:color="auto" w:fill="FCE4D6"/>
            <w:tcMar>
              <w:top w:w="80" w:type="dxa"/>
              <w:left w:w="100" w:type="dxa"/>
              <w:bottom w:w="80" w:type="dxa"/>
              <w:right w:w="100" w:type="dxa"/>
            </w:tcMar>
          </w:tcPr>
          <w:p w14:paraId="759EA3AB">
            <w:r>
              <w:rPr>
                <w:b w:val="0"/>
                <w:bCs w:val="0"/>
              </w:rPr>
              <w:t>Item-wise correlation analysis</w:t>
            </w:r>
          </w:p>
        </w:tc>
        <w:tc>
          <w:tcPr>
            <w:tcW w:w="4200" w:type="dxa"/>
            <w:tcMar>
              <w:top w:w="80" w:type="dxa"/>
              <w:left w:w="100" w:type="dxa"/>
              <w:bottom w:w="80" w:type="dxa"/>
              <w:right w:w="100" w:type="dxa"/>
            </w:tcMar>
          </w:tcPr>
          <w:p w14:paraId="2CE637E1">
            <w:r>
              <w:rPr>
                <w:b w:val="0"/>
                <w:bCs w:val="0"/>
              </w:rPr>
              <w:t>Real pilot subject data (doesn't exist yet)</w:t>
            </w:r>
          </w:p>
        </w:tc>
        <w:tc>
          <w:tcPr>
            <w:tcW w:w="2100" w:type="dxa"/>
            <w:tcMar>
              <w:top w:w="80" w:type="dxa"/>
              <w:left w:w="100" w:type="dxa"/>
              <w:bottom w:w="80" w:type="dxa"/>
              <w:right w:w="100" w:type="dxa"/>
            </w:tcMar>
          </w:tcPr>
          <w:p w14:paraId="7564DEB2">
            <w:r>
              <w:rPr>
                <w:b w:val="0"/>
                <w:bCs w:val="0"/>
              </w:rPr>
              <w:t>Sakshi</w:t>
            </w:r>
          </w:p>
        </w:tc>
      </w:tr>
      <w:tr w14:paraId="66DC4F9A">
        <w:tc>
          <w:tcPr>
            <w:tcW w:w="3200" w:type="dxa"/>
            <w:shd w:val="clear" w:color="auto" w:fill="FFF2CC"/>
            <w:tcMar>
              <w:top w:w="80" w:type="dxa"/>
              <w:left w:w="100" w:type="dxa"/>
              <w:bottom w:w="80" w:type="dxa"/>
              <w:right w:w="100" w:type="dxa"/>
            </w:tcMar>
          </w:tcPr>
          <w:p w14:paraId="5B2AAF44">
            <w:r>
              <w:rPr>
                <w:b w:val="0"/>
                <w:bCs w:val="0"/>
              </w:rPr>
              <w:t>Ensemble agreement analysis (full)</w:t>
            </w:r>
          </w:p>
        </w:tc>
        <w:tc>
          <w:tcPr>
            <w:tcW w:w="4200" w:type="dxa"/>
            <w:tcMar>
              <w:top w:w="80" w:type="dxa"/>
              <w:left w:w="100" w:type="dxa"/>
              <w:bottom w:w="80" w:type="dxa"/>
              <w:right w:w="100" w:type="dxa"/>
            </w:tcMar>
          </w:tcPr>
          <w:p w14:paraId="5FB5827B">
            <w:r>
              <w:rPr>
                <w:b w:val="0"/>
                <w:bCs w:val="0"/>
              </w:rPr>
              <w:t>Building methodology now on sample data; full run needs real session volume</w:t>
            </w:r>
          </w:p>
        </w:tc>
        <w:tc>
          <w:tcPr>
            <w:tcW w:w="2100" w:type="dxa"/>
            <w:tcMar>
              <w:top w:w="80" w:type="dxa"/>
              <w:left w:w="100" w:type="dxa"/>
              <w:bottom w:w="80" w:type="dxa"/>
              <w:right w:w="100" w:type="dxa"/>
            </w:tcMar>
          </w:tcPr>
          <w:p w14:paraId="0AD6EFD6">
            <w:r>
              <w:rPr>
                <w:b w:val="0"/>
                <w:bCs w:val="0"/>
              </w:rPr>
              <w:t>Sakshi</w:t>
            </w:r>
          </w:p>
        </w:tc>
      </w:tr>
      <w:tr w14:paraId="13D28A53">
        <w:tc>
          <w:tcPr>
            <w:tcW w:w="3200" w:type="dxa"/>
            <w:shd w:val="clear" w:color="auto" w:fill="FFF2CC"/>
            <w:tcMar>
              <w:top w:w="80" w:type="dxa"/>
              <w:left w:w="100" w:type="dxa"/>
              <w:bottom w:w="80" w:type="dxa"/>
              <w:right w:w="100" w:type="dxa"/>
            </w:tcMar>
          </w:tcPr>
          <w:p w14:paraId="6D9C8180">
            <w:r>
              <w:rPr>
                <w:b w:val="0"/>
                <w:bCs w:val="0"/>
              </w:rPr>
              <w:t>Repo sharing with Rakshita/Shreya</w:t>
            </w:r>
          </w:p>
        </w:tc>
        <w:tc>
          <w:tcPr>
            <w:tcW w:w="4200" w:type="dxa"/>
            <w:tcMar>
              <w:top w:w="80" w:type="dxa"/>
              <w:left w:w="100" w:type="dxa"/>
              <w:bottom w:w="80" w:type="dxa"/>
              <w:right w:w="100" w:type="dxa"/>
            </w:tcMar>
          </w:tcPr>
          <w:p w14:paraId="0296DB84">
            <w:r>
              <w:rPr>
                <w:b w:val="0"/>
                <w:bCs w:val="0"/>
              </w:rPr>
              <w:t>Deliberately held until ML side is fully complete, per team decision</w:t>
            </w:r>
          </w:p>
        </w:tc>
        <w:tc>
          <w:tcPr>
            <w:tcW w:w="2100" w:type="dxa"/>
            <w:tcMar>
              <w:top w:w="80" w:type="dxa"/>
              <w:left w:w="100" w:type="dxa"/>
              <w:bottom w:w="80" w:type="dxa"/>
              <w:right w:w="100" w:type="dxa"/>
            </w:tcMar>
          </w:tcPr>
          <w:p w14:paraId="29E5EFF5">
            <w:r>
              <w:rPr>
                <w:b w:val="0"/>
                <w:bCs w:val="0"/>
              </w:rPr>
              <w:t>Tejwant</w:t>
            </w:r>
          </w:p>
        </w:tc>
      </w:tr>
    </w:tbl>
    <w:p w14:paraId="5091DE84">
      <w:pPr>
        <w:pStyle w:val="2"/>
        <w:spacing w:before="300" w:after="150"/>
      </w:pPr>
      <w:r>
        <w:t>4. Task Assignments Currently Out</w:t>
      </w:r>
    </w:p>
    <w:p w14:paraId="232AFA47">
      <w:pPr>
        <w:pStyle w:val="16"/>
        <w:numPr>
          <w:ilvl w:val="0"/>
          <w:numId w:val="1"/>
        </w:numPr>
        <w:spacing w:after="70"/>
      </w:pPr>
      <w:r>
        <w:t>Anupama ma'am — clinical review of the 30-question set and the HAM-D/HAM-A/BDI item mapping, plus sign-off on the risk-flagging protocol.</w:t>
      </w:r>
    </w:p>
    <w:p w14:paraId="37AD7F8A">
      <w:pPr>
        <w:pStyle w:val="16"/>
        <w:numPr>
          <w:ilvl w:val="0"/>
          <w:numId w:val="1"/>
        </w:numPr>
        <w:spacing w:after="70"/>
      </w:pPr>
      <w:r>
        <w:t>Sakshi — (1) coverage/stratification validation of the 30-question set against the full 150-question bank, startable immediately; (2) build the ensemble inter-model agreement analysis methodology now, apply to real data once available.</w:t>
      </w:r>
    </w:p>
    <w:p w14:paraId="3528C7C4">
      <w:pPr>
        <w:pStyle w:val="2"/>
        <w:spacing w:before="300" w:after="150"/>
      </w:pPr>
      <w:r>
        <w:t>5. Next Steps Once Inputs Arrive</w:t>
      </w:r>
    </w:p>
    <w:p w14:paraId="367458D0">
      <w:pPr>
        <w:pStyle w:val="16"/>
        <w:numPr>
          <w:ilvl w:val="0"/>
          <w:numId w:val="1"/>
        </w:numPr>
        <w:spacing w:after="70"/>
      </w:pPr>
      <w:r>
        <w:t>From Anupama ma'am: build the HAM-D/HAM-A/BDI scoring module, activate the ham_scores section of the report, then re-test the full pipeline end to end with real scoring active.</w:t>
      </w:r>
    </w:p>
    <w:p w14:paraId="5301E635">
      <w:pPr>
        <w:pStyle w:val="16"/>
        <w:numPr>
          <w:ilvl w:val="0"/>
          <w:numId w:val="1"/>
        </w:numPr>
        <w:spacing w:after="70"/>
      </w:pPr>
      <w:r>
        <w:t>From Sakshi: fold any flagged coverage gaps into a possible revision of the 30-question set; once real session data exists, run the full agreement analysis.</w:t>
      </w:r>
    </w:p>
    <w:p w14:paraId="65EFCCB0">
      <w:pPr>
        <w:pStyle w:val="16"/>
        <w:numPr>
          <w:ilvl w:val="0"/>
          <w:numId w:val="1"/>
        </w:numPr>
        <w:spacing w:after="70"/>
      </w:pPr>
      <w:r>
        <w:t>Once ML is fully complete: share the repository with Rakshita and Shreya for frontend/backend integration, with the API contract, README, and test suite already in place.</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EEEAA3"/>
    <w:multiLevelType w:val="multilevel"/>
    <w:tmpl w:val="F6EEEAA3"/>
    <w:lvl w:ilvl="0" w:tentative="0">
      <w:start w:val="1"/>
      <w:numFmt w:val="bullet"/>
      <w:lvlText w:val="•"/>
      <w:lvlJc w:val="left"/>
      <w:pPr>
        <w:ind w:left="360" w:hanging="260"/>
      </w:pPr>
    </w:lvl>
    <w:lvl w:ilvl="1" w:tentative="0">
      <w:start w:val="1"/>
      <w:numFmt w:val="bullet"/>
      <w:lvlText w:val="◦"/>
      <w:lvlJc w:val="left"/>
      <w:pPr>
        <w:ind w:left="7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isplayBackgroundShape w:val="1"/>
  <w:documentProtection w:enforcement="0"/>
  <w:compat>
    <w:compatSetting w:name="compatibilityMode" w:uri="http://schemas.microsoft.com/office/word" w:val="15"/>
  </w:compat>
  <w:rsids>
    <w:rsidRoot w:val="00000000"/>
    <w:rsid w:val="9DD7D6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1</TotalTime>
  <ScaleCrop>false</ScaleCrop>
  <LinksUpToDate>false</LinksUpToDate>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Tejwant Singh</cp:lastModifiedBy>
  <dcterms:modified xsi:type="dcterms:W3CDTF">2026-08-08T20:56:25Z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64CB83206621D505A14A776A5632177F_42</vt:lpwstr>
  </property>
</Properties>
</file>