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0" w:after="120"/>
        <w:jc w:val="center"/>
      </w:pPr>
      <w:r>
        <w:rPr>
          <w:rFonts w:ascii="Arial" w:cs="Arial" w:eastAsia="Arial" w:hAnsi="Arial"/>
          <w:b/>
          <w:bCs/>
          <w:color w:val="1A5276"/>
          <w:sz w:val="32"/>
          <w:szCs w:val="32"/>
        </w:rPr>
        <w:t xml:space="preserve">VIT Bhopal University</w:t>
      </w:r>
    </w:p>
    <w:p>
      <w:pPr>
        <w:spacing w:before="0" w:after="480"/>
        <w:jc w:val="center"/>
      </w:pPr>
      <w:r>
        <w:rPr>
          <w:rFonts w:ascii="Arial" w:cs="Arial" w:eastAsia="Arial" w:hAnsi="Arial"/>
          <w:color w:val="555555"/>
          <w:sz w:val="24"/>
          <w:szCs w:val="24"/>
        </w:rPr>
        <w:t xml:space="preserve">VITyarthi E-Learning Platform</w:t>
      </w:r>
    </w:p>
    <w:p>
      <w:pPr>
        <w:pBdr>
          <w:top w:val="single" w:color="1A5276" w:sz="8"/>
          <w:bottom w:val="single" w:color="1A5276" w:sz="8"/>
        </w:pBdr>
        <w:spacing w:before="0" w:after="120"/>
        <w:jc w:val="center"/>
      </w:pPr>
      <w:r>
        <w:rPr>
          <w:rFonts w:ascii="Arial" w:cs="Arial" w:eastAsia="Arial" w:hAnsi="Arial"/>
          <w:b/>
          <w:bCs/>
          <w:color w:val="1A5276"/>
          <w:sz w:val="44"/>
          <w:szCs w:val="44"/>
        </w:rPr>
        <w:t xml:space="preserve">PROJECT REPORT</w:t>
      </w:r>
    </w:p>
    <w:p>
      <w:pPr>
        <w:spacing w:before="120" w:after="600"/>
        <w:jc w:val="center"/>
      </w:pPr>
      <w:r>
        <w:rPr>
          <w:rFonts w:ascii="Arial" w:cs="Arial" w:eastAsia="Arial" w:hAnsi="Arial"/>
          <w:b/>
          <w:bCs/>
          <w:color w:val="333333"/>
          <w:sz w:val="28"/>
          <w:szCs w:val="28"/>
        </w:rPr>
        <w:t xml:space="preserve">CSE0001 – Digital Literacy</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[Your Full Name]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[e.g., 23BCE1234]</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[e.g., B.Tech – Computer Science &amp; Engineering]</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First Year B.Tech (2024–2025)</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CSE0001</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Course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 Literacy</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Credits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Credit | Pass / Fail (Non-CGPA)</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 Bhopal University</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Submission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[DD Month YYYY]</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GitHub 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https://github.com/[yourusername]/digital-literacy-project</w:t>
            </w:r>
          </w:p>
        </w:tc>
      </w:tr>
    </w:tbl>
    <w:p>
      <w:r>
        <w:br w:type="page"/>
      </w:r>
    </w:p>
    <w:p>
      <w:pPr>
        <w:pStyle w:val="Heading1"/>
        <w:pBdr>
          <w:bottom w:val="single" w:color="1A5276" w:sz="6" w:space="4"/>
        </w:pBdr>
        <w:spacing w:before="360" w:after="160" w:line="360" w:lineRule="auto"/>
      </w:pPr>
      <w:r>
        <w:rPr>
          <w:rFonts w:ascii="Arial" w:cs="Arial" w:eastAsia="Arial" w:hAnsi="Arial"/>
          <w:b/>
          <w:bCs/>
          <w:color w:val="1A5276"/>
          <w:sz w:val="28"/>
          <w:szCs w:val="28"/>
        </w:rPr>
        <w:t xml:space="preserve">Introduction</w:t>
      </w:r>
    </w:p>
    <w:p>
      <w:pPr>
        <w:spacing w:before="80" w:after="80" w:line="360" w:lineRule="auto"/>
        <w:jc w:val="both"/>
      </w:pPr>
      <w:r>
        <w:rPr>
          <w:rFonts w:ascii="Arial" w:cs="Arial" w:eastAsia="Arial" w:hAnsi="Arial"/>
          <w:sz w:val="24"/>
          <w:szCs w:val="24"/>
        </w:rPr>
        <w:t xml:space="preserve">This report documents my work for the CSE0001 Digital Literacy project at VIT Bhopal University. For this assignment, I took on the role of a Student Digital Ambassador — a peer guide responsible for helping fellow students use the digital world effectively, safely, and professionally.</w:t>
      </w:r>
    </w:p>
    <w:p>
      <w:pPr>
        <w:spacing w:before="80" w:after="80" w:line="360" w:lineRule="auto"/>
        <w:jc w:val="both"/>
      </w:pPr>
      <w:r>
        <w:rPr>
          <w:rFonts w:ascii="Arial" w:cs="Arial" w:eastAsia="Arial" w:hAnsi="Arial"/>
          <w:sz w:val="24"/>
          <w:szCs w:val="24"/>
        </w:rPr>
        <w:t xml:space="preserve">The project is divided into five tasks, each aligned to one course module: creating a digital literacy infographic, building a professional online portfolio, exploring coding and collaboration platforms, practising professional email communication, and researching cybercrime awareness. All deliverables are organised in a single GitHub repository, which itself demonstrates practical digital literacy. Every tool used is free and browser-based, requiring no prior coding experience.</w:t>
      </w:r>
    </w:p>
    <w:p>
      <w:r>
        <w:br w:type="page"/>
      </w:r>
    </w:p>
    <w:p>
      <w:pPr>
        <w:pStyle w:val="Heading1"/>
        <w:pBdr>
          <w:bottom w:val="single" w:color="1A5276" w:sz="6" w:space="4"/>
        </w:pBdr>
        <w:spacing w:before="360" w:after="160" w:line="360" w:lineRule="auto"/>
      </w:pPr>
      <w:r>
        <w:rPr>
          <w:rFonts w:ascii="Arial" w:cs="Arial" w:eastAsia="Arial" w:hAnsi="Arial"/>
          <w:b/>
          <w:bCs/>
          <w:color w:val="1A5276"/>
          <w:sz w:val="28"/>
          <w:szCs w:val="28"/>
        </w:rPr>
        <w:t xml:space="preserve">Task 1 Write-up – Digital Literacy Awareness Infographic</w:t>
      </w:r>
    </w:p>
    <w:p>
      <w:pPr>
        <w:pStyle w:val="Heading2"/>
        <w:spacing w:before="200" w:after="100" w:line="360" w:lineRule="auto"/>
      </w:pPr>
      <w:r>
        <w:rPr>
          <w:rFonts w:ascii="Arial" w:cs="Arial" w:eastAsia="Arial" w:hAnsi="Arial"/>
          <w:b/>
          <w:bCs/>
          <w:color w:val="1F618D"/>
          <w:sz w:val="24"/>
          <w:szCs w:val="24"/>
        </w:rPr>
        <w:t xml:space="preserve">What I Made &amp; Tool Used</w:t>
      </w:r>
    </w:p>
    <w:p>
      <w:pPr>
        <w:spacing w:before="80" w:after="80" w:line="360" w:lineRule="auto"/>
        <w:jc w:val="both"/>
      </w:pPr>
      <w:r>
        <w:rPr>
          <w:rFonts w:ascii="Arial" w:cs="Arial" w:eastAsia="Arial" w:hAnsi="Arial"/>
          <w:sz w:val="24"/>
          <w:szCs w:val="24"/>
        </w:rPr>
        <w:t xml:space="preserve">For Task 1, I designed a one-page Digital Literacy Awareness Infographic using Canva (canva.com), a free browser-based graphic design platform. The infographic was created to help my batchmates understand core concepts of digital literacy in a visually engaging, easy-to-read format. I selected a clean two-column layout with colour-coded sections, simple icons, and short text blocks to ensure clarity at a glance.</w:t>
      </w:r>
    </w:p>
    <w:p>
      <w:pPr>
        <w:spacing w:before="80" w:after="80" w:line="360" w:lineRule="auto"/>
        <w:jc w:val="both"/>
      </w:pPr>
      <w:r>
        <w:rPr>
          <w:rFonts w:ascii="Arial" w:cs="Arial" w:eastAsia="Arial" w:hAnsi="Arial"/>
          <w:sz w:val="24"/>
          <w:szCs w:val="24"/>
        </w:rPr>
        <w:t xml:space="preserve">The infographic covers three topics: (1) What Digital Literacy Is — a student-friendly definition emphasising effective, responsible, and critical use of technology; (2) Safe Internet Practices — habits such as using strong unique passwords, enabling two-factor authentication, and avoiding suspicious links; and (3) Professional Online Presence — tips on setting up a LinkedIn profile and GitHub portfolio that employers and academic institutions can review.</w:t>
      </w:r>
    </w:p>
    <w:p>
      <w:pPr>
        <w:pStyle w:val="Heading2"/>
        <w:spacing w:before="200" w:after="100" w:line="360" w:lineRule="auto"/>
      </w:pPr>
      <w:r>
        <w:rPr>
          <w:rFonts w:ascii="Arial" w:cs="Arial" w:eastAsia="Arial" w:hAnsi="Arial"/>
          <w:b/>
          <w:bCs/>
          <w:color w:val="1F618D"/>
          <w:sz w:val="24"/>
          <w:szCs w:val="24"/>
        </w:rPr>
        <w:t xml:space="preserve">Reflection</w:t>
      </w:r>
    </w:p>
    <w:p>
      <w:pPr>
        <w:spacing w:before="80" w:after="80" w:line="360" w:lineRule="auto"/>
        <w:jc w:val="both"/>
      </w:pPr>
      <w:r>
        <w:rPr>
          <w:rFonts w:ascii="Arial" w:cs="Arial" w:eastAsia="Arial" w:hAnsi="Arial"/>
          <w:sz w:val="24"/>
          <w:szCs w:val="24"/>
        </w:rPr>
        <w:t xml:space="preserve">I found it genuinely challenging to condense a broad topic onto a single page. Every revision required me to remove details I considered important, teaching me to prioritise audience needs over completeness. The most interesting discovery was how much visual design affects comprehension — a well-placed icon communicates faster than a paragraph. Canva's template library made the process approachable, and I now understand why visual communication is a distinct and valued skill in professional environments.</w:t>
      </w:r>
    </w:p>
    <w:p>
      <w:r>
        <w:br w:type="page"/>
      </w:r>
    </w:p>
    <w:p>
      <w:pPr>
        <w:pStyle w:val="Heading1"/>
        <w:pBdr>
          <w:bottom w:val="single" w:color="1A5276" w:sz="6" w:space="4"/>
        </w:pBdr>
        <w:spacing w:before="360" w:after="160" w:line="360" w:lineRule="auto"/>
      </w:pPr>
      <w:r>
        <w:rPr>
          <w:rFonts w:ascii="Arial" w:cs="Arial" w:eastAsia="Arial" w:hAnsi="Arial"/>
          <w:b/>
          <w:bCs/>
          <w:color w:val="1A5276"/>
          <w:sz w:val="28"/>
          <w:szCs w:val="28"/>
        </w:rPr>
        <w:t xml:space="preserve">Task 2 Write-up – Student Digital Portfolio</w:t>
      </w:r>
    </w:p>
    <w:p>
      <w:pPr>
        <w:pStyle w:val="Heading2"/>
        <w:spacing w:before="200" w:after="100" w:line="360" w:lineRule="auto"/>
      </w:pPr>
      <w:r>
        <w:rPr>
          <w:rFonts w:ascii="Arial" w:cs="Arial" w:eastAsia="Arial" w:hAnsi="Arial"/>
          <w:b/>
          <w:bCs/>
          <w:color w:val="1F618D"/>
          <w:sz w:val="24"/>
          <w:szCs w:val="24"/>
        </w:rPr>
        <w:t xml:space="preserve">Platforms Set Up &amp; Their Purpose</w:t>
      </w:r>
    </w:p>
    <w:p>
      <w:pPr>
        <w:spacing w:before="80" w:after="80" w:line="360" w:lineRule="auto"/>
        <w:jc w:val="both"/>
      </w:pPr>
      <w:r>
        <w:rPr>
          <w:rFonts w:ascii="Arial" w:cs="Arial" w:eastAsia="Arial" w:hAnsi="Arial"/>
          <w:sz w:val="24"/>
          <w:szCs w:val="24"/>
        </w:rPr>
        <w:t xml:space="preserve">I created and configured professional profiles on three platforms. GitHub (github.com) is a cloud platform for hosting code using Git version control; I created a profile README repository displaying my name, branch, year, and a brief learning goal. LinkedIn (linkedin.com) is a global professional networking platform; I completed my Education section with my degree, institution, and expected graduation year — establishing a digital resume visible to recruiters and internship coordinators. Kaggle (kaggle.com) is Google's data science and machine learning community, offering datasets, competitions, and guided courses; creating an account now ensures I have a presence in this growing field from the start of my degree.</w:t>
      </w:r>
    </w:p>
    <w:p>
      <w:pPr>
        <w:pStyle w:val="Heading2"/>
        <w:spacing w:before="200" w:after="100" w:line="360" w:lineRule="auto"/>
      </w:pPr>
      <w:r>
        <w:rPr>
          <w:rFonts w:ascii="Arial" w:cs="Arial" w:eastAsia="Arial" w:hAnsi="Arial"/>
          <w:b/>
          <w:bCs/>
          <w:color w:val="1F618D"/>
          <w:sz w:val="24"/>
          <w:szCs w:val="24"/>
        </w:rPr>
        <w:t xml:space="preserve">Future Plans</w:t>
      </w:r>
    </w:p>
    <w:p>
      <w:pPr>
        <w:spacing w:before="80" w:after="80" w:line="360" w:lineRule="auto"/>
        <w:jc w:val="both"/>
      </w:pPr>
      <w:r>
        <w:rPr>
          <w:rFonts w:ascii="Arial" w:cs="Arial" w:eastAsia="Arial" w:hAnsi="Arial"/>
          <w:sz w:val="24"/>
          <w:szCs w:val="24"/>
        </w:rPr>
        <w:t xml:space="preserve">Over the next four years, I plan to use GitHub to host every major academic project, making my technical growth publicly visible to future employers. My LinkedIn profile will be updated progressively with internships, certifications, and achievements, and I will begin connecting with alumni and industry professionals in my area of interest. Kaggle will become more relevant as I advance into data structures, machine learning, and analytics coursework. Together, these three platforms will form a strong, evidence-based professional identity by the time I graduate.</w:t>
      </w:r>
    </w:p>
    <w:p>
      <w:r>
        <w:br w:type="page"/>
      </w:r>
    </w:p>
    <w:p>
      <w:pPr>
        <w:pStyle w:val="Heading1"/>
        <w:pBdr>
          <w:bottom w:val="single" w:color="1A5276" w:sz="6" w:space="4"/>
        </w:pBdr>
        <w:spacing w:before="360" w:after="160" w:line="360" w:lineRule="auto"/>
      </w:pPr>
      <w:r>
        <w:rPr>
          <w:rFonts w:ascii="Arial" w:cs="Arial" w:eastAsia="Arial" w:hAnsi="Arial"/>
          <w:b/>
          <w:bCs/>
          <w:color w:val="1A5276"/>
          <w:sz w:val="28"/>
          <w:szCs w:val="28"/>
        </w:rPr>
        <w:t xml:space="preserve">Task 3 Write-up – Coding &amp; Collaboration Platforms</w:t>
      </w:r>
    </w:p>
    <w:p>
      <w:pPr>
        <w:pStyle w:val="Heading2"/>
        <w:spacing w:before="200" w:after="100" w:line="360" w:lineRule="auto"/>
      </w:pPr>
      <w:r>
        <w:rPr>
          <w:rFonts w:ascii="Arial" w:cs="Arial" w:eastAsia="Arial" w:hAnsi="Arial"/>
          <w:b/>
          <w:bCs/>
          <w:color w:val="1F618D"/>
          <w:sz w:val="24"/>
          <w:szCs w:val="24"/>
        </w:rPr>
        <w:t xml:space="preserve">Platforms Used &amp; What I Practised</w:t>
      </w:r>
    </w:p>
    <w:p>
      <w:pPr>
        <w:spacing w:before="80" w:after="80" w:line="360" w:lineRule="auto"/>
        <w:jc w:val="both"/>
      </w:pPr>
      <w:r>
        <w:rPr>
          <w:rFonts w:ascii="Arial" w:cs="Arial" w:eastAsia="Arial" w:hAnsi="Arial"/>
          <w:sz w:val="24"/>
          <w:szCs w:val="24"/>
        </w:rPr>
        <w:t xml:space="preserve">For Part A, I created an account on HackerRank (hackerrank.com) and completed the 'Solve Me First' beginner challenge in the Problem Solving section. This challenge requires writing a function that returns the sum of two integers, and my solution received an 'Accepted' result, passing all test cases. Working through even this simple challenge introduced me to how competitive coding platforms structure problem statements, evaluate solutions using test cases, and track progress through badges and scores.</w:t>
      </w:r>
    </w:p>
    <w:p>
      <w:pPr>
        <w:pStyle w:val="Heading2"/>
        <w:spacing w:before="200" w:after="100" w:line="360" w:lineRule="auto"/>
      </w:pPr>
      <w:r>
        <w:rPr>
          <w:rFonts w:ascii="Arial" w:cs="Arial" w:eastAsia="Arial" w:hAnsi="Arial"/>
          <w:b/>
          <w:bCs/>
          <w:color w:val="1F618D"/>
          <w:sz w:val="24"/>
          <w:szCs w:val="24"/>
        </w:rPr>
        <w:t xml:space="preserve">What I Built – Google Form Quiz</w:t>
      </w:r>
    </w:p>
    <w:p>
      <w:pPr>
        <w:spacing w:before="80" w:after="80" w:line="360" w:lineRule="auto"/>
        <w:jc w:val="both"/>
      </w:pPr>
      <w:r>
        <w:rPr>
          <w:rFonts w:ascii="Arial" w:cs="Arial" w:eastAsia="Arial" w:hAnsi="Arial"/>
          <w:sz w:val="24"/>
          <w:szCs w:val="24"/>
        </w:rPr>
        <w:t xml:space="preserve">For Part B, I built a five-question Digital Literacy Awareness Quiz using Google Forms (forms.google.com), linked to a Google Sheet for automatic response collection. The quiz includes four multiple-choice questions (covering the definition of digital literacy, safe internet habits, platform selection, and phishing awareness) and one short-answer question asking students to share a personal online safety tip. The form link is shared in my GitHub README. Building this taught me how Google Workspace tools integrate seamlessly — the form, sheet, and sharing controls all work within a single ecosystem — making them powerful tools for academic surveys, feedback collection, and collaborative data gathering.</w:t>
      </w:r>
    </w:p>
    <w:p>
      <w:r>
        <w:br w:type="page"/>
      </w:r>
    </w:p>
    <w:p>
      <w:pPr>
        <w:pStyle w:val="Heading1"/>
        <w:pBdr>
          <w:bottom w:val="single" w:color="1A5276" w:sz="6" w:space="4"/>
        </w:pBdr>
        <w:spacing w:before="360" w:after="160" w:line="360" w:lineRule="auto"/>
      </w:pPr>
      <w:r>
        <w:rPr>
          <w:rFonts w:ascii="Arial" w:cs="Arial" w:eastAsia="Arial" w:hAnsi="Arial"/>
          <w:b/>
          <w:bCs/>
          <w:color w:val="1A5276"/>
          <w:sz w:val="28"/>
          <w:szCs w:val="28"/>
        </w:rPr>
        <w:t xml:space="preserve">Task 4 Write-up – Professional Email &amp; Etiquette Guide</w:t>
      </w:r>
    </w:p>
    <w:p>
      <w:pPr>
        <w:pStyle w:val="Heading2"/>
        <w:spacing w:before="200" w:after="100" w:line="360" w:lineRule="auto"/>
      </w:pPr>
      <w:r>
        <w:rPr>
          <w:rFonts w:ascii="Arial" w:cs="Arial" w:eastAsia="Arial" w:hAnsi="Arial"/>
          <w:b/>
          <w:bCs/>
          <w:color w:val="1F618D"/>
          <w:sz w:val="24"/>
          <w:szCs w:val="24"/>
        </w:rPr>
        <w:t xml:space="preserve">Communication Scenario</w:t>
      </w:r>
    </w:p>
    <w:p>
      <w:pPr>
        <w:spacing w:before="80" w:after="80" w:line="360" w:lineRule="auto"/>
        <w:jc w:val="both"/>
      </w:pPr>
      <w:r>
        <w:rPr>
          <w:rFonts w:ascii="Arial" w:cs="Arial" w:eastAsia="Arial" w:hAnsi="Arial"/>
          <w:sz w:val="24"/>
          <w:szCs w:val="24"/>
        </w:rPr>
        <w:t xml:space="preserve">A well-documented real-world example of poor digital communication causing harm is the case of employees and students dismissed after posting unprofessional content on social media. In several incidents across India, individuals shared complaints or inappropriate opinions about their institution or employer on platforms like Twitter and Instagram, not anticipating how widely such posts could spread. What was intended as a casual remark was seen by faculty or HR, resulting in academic penalties or job termination.</w:t>
      </w:r>
    </w:p>
    <w:p>
      <w:pPr>
        <w:pStyle w:val="Heading2"/>
        <w:spacing w:before="200" w:after="100" w:line="360" w:lineRule="auto"/>
      </w:pPr>
      <w:r>
        <w:rPr>
          <w:rFonts w:ascii="Arial" w:cs="Arial" w:eastAsia="Arial" w:hAnsi="Arial"/>
          <w:b/>
          <w:bCs/>
          <w:color w:val="1F618D"/>
          <w:sz w:val="24"/>
          <w:szCs w:val="24"/>
        </w:rPr>
        <w:t xml:space="preserve">Key Learnings</w:t>
      </w:r>
    </w:p>
    <w:p>
      <w:pPr>
        <w:spacing w:before="80" w:after="80" w:line="360" w:lineRule="auto"/>
        <w:jc w:val="both"/>
      </w:pPr>
      <w:r>
        <w:rPr>
          <w:rFonts w:ascii="Arial" w:cs="Arial" w:eastAsia="Arial" w:hAnsi="Arial"/>
          <w:sz w:val="24"/>
          <w:szCs w:val="24"/>
        </w:rPr>
        <w:t xml:space="preserve">This task reinforced that professional communication is a habit, not just a skill. For email, structure matters: a clear subject line, formal greeting, concise body, and proper sign-off convey respect and competence. For social media, the principle is simple — never post anything you would not want a professor or employer to read. Every digital message, whether formal or casual, contributes to one's permanent online reputation. I will apply these principles consistently across all platforms going forward.</w:t>
      </w:r>
    </w:p>
    <w:p>
      <w:r>
        <w:br w:type="page"/>
      </w:r>
    </w:p>
    <w:p>
      <w:pPr>
        <w:pStyle w:val="Heading1"/>
        <w:pBdr>
          <w:bottom w:val="single" w:color="1A5276" w:sz="6" w:space="4"/>
        </w:pBdr>
        <w:spacing w:before="360" w:after="160" w:line="360" w:lineRule="auto"/>
      </w:pPr>
      <w:r>
        <w:rPr>
          <w:rFonts w:ascii="Arial" w:cs="Arial" w:eastAsia="Arial" w:hAnsi="Arial"/>
          <w:b/>
          <w:bCs/>
          <w:color w:val="1A5276"/>
          <w:sz w:val="28"/>
          <w:szCs w:val="28"/>
        </w:rPr>
        <w:t xml:space="preserve">Task 5 Write-up – Cybercrime Awareness Case Study &amp; Prevention Guide</w:t>
      </w:r>
    </w:p>
    <w:p>
      <w:pPr>
        <w:pStyle w:val="Heading2"/>
        <w:spacing w:before="200" w:after="100" w:line="360" w:lineRule="auto"/>
      </w:pPr>
      <w:r>
        <w:rPr>
          <w:rFonts w:ascii="Arial" w:cs="Arial" w:eastAsia="Arial" w:hAnsi="Arial"/>
          <w:b/>
          <w:bCs/>
          <w:color w:val="1F618D"/>
          <w:sz w:val="24"/>
          <w:szCs w:val="24"/>
        </w:rPr>
        <w:t xml:space="preserve">What Surprised Me</w:t>
      </w:r>
    </w:p>
    <w:p>
      <w:pPr>
        <w:spacing w:before="80" w:after="80" w:line="360" w:lineRule="auto"/>
        <w:jc w:val="both"/>
      </w:pPr>
      <w:r>
        <w:rPr>
          <w:rFonts w:ascii="Arial" w:cs="Arial" w:eastAsia="Arial" w:hAnsi="Arial"/>
          <w:sz w:val="24"/>
          <w:szCs w:val="24"/>
        </w:rPr>
        <w:t xml:space="preserve">While researching UPI and online payment fraud for my case study, the most surprising finding was learning that entering your UPI PIN always authorises an outgoing payment — there is no mechanism requiring your PIN to receive money. This distinction is obvious once stated, yet thousands of people are defrauded every day precisely because they do not know it. Fraudsters deliberately exploit this knowledge gap by framing a collect request as a 'refund verification', and victims comply without realising they are sending money, not receiving it. The scale of financial losses nationally — running into thousands of crores annually — from such a simple misunderstanding underlined just how critical basic digital awareness is.</w:t>
      </w:r>
    </w:p>
    <w:p>
      <w:pPr>
        <w:pStyle w:val="Heading2"/>
        <w:spacing w:before="200" w:after="100" w:line="360" w:lineRule="auto"/>
      </w:pPr>
      <w:r>
        <w:rPr>
          <w:rFonts w:ascii="Arial" w:cs="Arial" w:eastAsia="Arial" w:hAnsi="Arial"/>
          <w:b/>
          <w:bCs/>
          <w:color w:val="1F618D"/>
          <w:sz w:val="24"/>
          <w:szCs w:val="24"/>
        </w:rPr>
        <w:t xml:space="preserve">One Habit I Will Change</w:t>
      </w:r>
    </w:p>
    <w:p>
      <w:pPr>
        <w:spacing w:before="80" w:after="80" w:line="360" w:lineRule="auto"/>
        <w:jc w:val="both"/>
      </w:pPr>
      <w:r>
        <w:rPr>
          <w:rFonts w:ascii="Arial" w:cs="Arial" w:eastAsia="Arial" w:hAnsi="Arial"/>
          <w:sz w:val="24"/>
          <w:szCs w:val="24"/>
        </w:rPr>
        <w:t xml:space="preserve">I will never enter my UPI PIN, share an OTP, or act on any financial instruction received over a phone call or message without independently verifying the caller's identity through the bank's official number. I also plan to explain this specific distinction to family members who are newer to digital payments.</w:t>
      </w:r>
    </w:p>
    <w:p>
      <w:r>
        <w:br w:type="page"/>
      </w:r>
    </w:p>
    <w:p>
      <w:pPr>
        <w:pStyle w:val="Heading1"/>
        <w:pBdr>
          <w:bottom w:val="single" w:color="1A5276" w:sz="6" w:space="4"/>
        </w:pBdr>
        <w:spacing w:before="360" w:after="160" w:line="360" w:lineRule="auto"/>
      </w:pPr>
      <w:r>
        <w:rPr>
          <w:rFonts w:ascii="Arial" w:cs="Arial" w:eastAsia="Arial" w:hAnsi="Arial"/>
          <w:b/>
          <w:bCs/>
          <w:color w:val="1A5276"/>
          <w:sz w:val="28"/>
          <w:szCs w:val="28"/>
        </w:rPr>
        <w:t xml:space="preserve">Conclusion</w:t>
      </w:r>
    </w:p>
    <w:p>
      <w:pPr>
        <w:spacing w:before="80" w:after="80" w:line="360" w:lineRule="auto"/>
        <w:jc w:val="both"/>
      </w:pPr>
      <w:r>
        <w:rPr>
          <w:rFonts w:ascii="Arial" w:cs="Arial" w:eastAsia="Arial" w:hAnsi="Arial"/>
          <w:sz w:val="24"/>
          <w:szCs w:val="24"/>
        </w:rPr>
        <w:t xml:space="preserve">This project provided practical, hands-on exposure to five dimensions of digital literacy that textbooks alone cannot convey. I learned to communicate ideas visually, build a professional online presence, use coding and collaboration tools, write formal communications, and recognise online threats. The most significant insight is that digital literacy is not a single skill but a continuous set of habits — of caution, professionalism, and curiosity. My GitHub repository, which now houses all project deliverables, will continue to grow as a living record of my learning throughout this degree.</w:t>
      </w:r>
    </w:p>
    <w:p>
      <w:r>
        <w:br w:type="page"/>
      </w:r>
    </w:p>
    <w:p>
      <w:pPr>
        <w:pStyle w:val="Heading1"/>
        <w:pBdr>
          <w:bottom w:val="single" w:color="1A5276" w:sz="6" w:space="4"/>
        </w:pBdr>
        <w:spacing w:before="360" w:after="160" w:line="360" w:lineRule="auto"/>
      </w:pPr>
      <w:r>
        <w:rPr>
          <w:rFonts w:ascii="Arial" w:cs="Arial" w:eastAsia="Arial" w:hAnsi="Arial"/>
          <w:b/>
          <w:bCs/>
          <w:color w:val="1A5276"/>
          <w:sz w:val="28"/>
          <w:szCs w:val="28"/>
        </w:rPr>
        <w:t xml:space="preserve">References</w:t>
      </w:r>
    </w:p>
    <w:p>
      <w:pPr>
        <w:pStyle w:val="ListParagraph"/>
        <w:numPr>
          <w:ilvl w:val="0"/>
          <w:numId w:val="2"/>
        </w:numPr>
        <w:spacing w:before="60" w:after="60" w:line="360" w:lineRule="auto"/>
      </w:pPr>
      <w:r>
        <w:rPr>
          <w:rFonts w:ascii="Arial" w:cs="Arial" w:eastAsia="Arial" w:hAnsi="Arial"/>
          <w:sz w:val="24"/>
          <w:szCs w:val="24"/>
        </w:rPr>
        <w:t xml:space="preserve">Canva – Free Design Tool: https://www.canva.com</w:t>
      </w:r>
    </w:p>
    <w:p>
      <w:pPr>
        <w:pStyle w:val="ListParagraph"/>
        <w:numPr>
          <w:ilvl w:val="0"/>
          <w:numId w:val="2"/>
        </w:numPr>
        <w:spacing w:before="60" w:after="60" w:line="360" w:lineRule="auto"/>
      </w:pPr>
      <w:r>
        <w:rPr>
          <w:rFonts w:ascii="Arial" w:cs="Arial" w:eastAsia="Arial" w:hAnsi="Arial"/>
          <w:sz w:val="24"/>
          <w:szCs w:val="24"/>
        </w:rPr>
        <w:t xml:space="preserve">GitHub – Code Hosting Platform: https://github.com</w:t>
      </w:r>
    </w:p>
    <w:p>
      <w:pPr>
        <w:pStyle w:val="ListParagraph"/>
        <w:numPr>
          <w:ilvl w:val="0"/>
          <w:numId w:val="2"/>
        </w:numPr>
        <w:spacing w:before="60" w:after="60" w:line="360" w:lineRule="auto"/>
      </w:pPr>
      <w:r>
        <w:rPr>
          <w:rFonts w:ascii="Arial" w:cs="Arial" w:eastAsia="Arial" w:hAnsi="Arial"/>
          <w:sz w:val="24"/>
          <w:szCs w:val="24"/>
        </w:rPr>
        <w:t xml:space="preserve">LinkedIn – Professional Network: https://www.linkedin.com</w:t>
      </w:r>
    </w:p>
    <w:p>
      <w:pPr>
        <w:pStyle w:val="ListParagraph"/>
        <w:numPr>
          <w:ilvl w:val="0"/>
          <w:numId w:val="2"/>
        </w:numPr>
        <w:spacing w:before="60" w:after="60" w:line="360" w:lineRule="auto"/>
      </w:pPr>
      <w:r>
        <w:rPr>
          <w:rFonts w:ascii="Arial" w:cs="Arial" w:eastAsia="Arial" w:hAnsi="Arial"/>
          <w:sz w:val="24"/>
          <w:szCs w:val="24"/>
        </w:rPr>
        <w:t xml:space="preserve">Kaggle – Data Science Community: https://www.kaggle.com</w:t>
      </w:r>
    </w:p>
    <w:p>
      <w:pPr>
        <w:pStyle w:val="ListParagraph"/>
        <w:numPr>
          <w:ilvl w:val="0"/>
          <w:numId w:val="2"/>
        </w:numPr>
        <w:spacing w:before="60" w:after="60" w:line="360" w:lineRule="auto"/>
      </w:pPr>
      <w:r>
        <w:rPr>
          <w:rFonts w:ascii="Arial" w:cs="Arial" w:eastAsia="Arial" w:hAnsi="Arial"/>
          <w:sz w:val="24"/>
          <w:szCs w:val="24"/>
        </w:rPr>
        <w:t xml:space="preserve">HackerRank – Coding Practice Platform: https://www.hackerrank.com</w:t>
      </w:r>
    </w:p>
    <w:p>
      <w:pPr>
        <w:pStyle w:val="ListParagraph"/>
        <w:numPr>
          <w:ilvl w:val="0"/>
          <w:numId w:val="2"/>
        </w:numPr>
        <w:spacing w:before="60" w:after="60" w:line="360" w:lineRule="auto"/>
      </w:pPr>
      <w:r>
        <w:rPr>
          <w:rFonts w:ascii="Arial" w:cs="Arial" w:eastAsia="Arial" w:hAnsi="Arial"/>
          <w:sz w:val="24"/>
          <w:szCs w:val="24"/>
        </w:rPr>
        <w:t xml:space="preserve">Google Forms – Survey &amp; Quiz Tool: https://forms.google.com</w:t>
      </w:r>
    </w:p>
    <w:p>
      <w:pPr>
        <w:pStyle w:val="ListParagraph"/>
        <w:numPr>
          <w:ilvl w:val="0"/>
          <w:numId w:val="2"/>
        </w:numPr>
        <w:spacing w:before="60" w:after="60" w:line="360" w:lineRule="auto"/>
      </w:pPr>
      <w:r>
        <w:rPr>
          <w:rFonts w:ascii="Arial" w:cs="Arial" w:eastAsia="Arial" w:hAnsi="Arial"/>
          <w:sz w:val="24"/>
          <w:szCs w:val="24"/>
        </w:rPr>
        <w:t xml:space="preserve">National Cyber Crime Reporting Portal: https://cybercrime.gov.in</w:t>
      </w:r>
    </w:p>
    <w:p>
      <w:pPr>
        <w:pStyle w:val="ListParagraph"/>
        <w:numPr>
          <w:ilvl w:val="0"/>
          <w:numId w:val="2"/>
        </w:numPr>
        <w:spacing w:before="60" w:after="60" w:line="360" w:lineRule="auto"/>
      </w:pPr>
      <w:r>
        <w:rPr>
          <w:rFonts w:ascii="Arial" w:cs="Arial" w:eastAsia="Arial" w:hAnsi="Arial"/>
          <w:sz w:val="24"/>
          <w:szCs w:val="24"/>
        </w:rPr>
        <w:t xml:space="preserve">Cyber Crime Helpline: 1930 (24x7, Government of India)</w:t>
      </w:r>
    </w:p>
    <w:p>
      <w:pPr>
        <w:pStyle w:val="ListParagraph"/>
        <w:numPr>
          <w:ilvl w:val="0"/>
          <w:numId w:val="2"/>
        </w:numPr>
        <w:spacing w:before="60" w:after="60" w:line="360" w:lineRule="auto"/>
      </w:pPr>
      <w:r>
        <w:rPr>
          <w:rFonts w:ascii="Arial" w:cs="Arial" w:eastAsia="Arial" w:hAnsi="Arial"/>
          <w:sz w:val="24"/>
          <w:szCs w:val="24"/>
        </w:rPr>
        <w:t xml:space="preserve">Reserve Bank of India – Digital Payment Safety: https://www.rbi.org.in</w:t>
      </w:r>
    </w:p>
    <w:p>
      <w:pPr>
        <w:pStyle w:val="ListParagraph"/>
        <w:numPr>
          <w:ilvl w:val="0"/>
          <w:numId w:val="2"/>
        </w:numPr>
        <w:spacing w:before="60" w:after="60" w:line="360" w:lineRule="auto"/>
      </w:pPr>
      <w:r>
        <w:rPr>
          <w:rFonts w:ascii="Arial" w:cs="Arial" w:eastAsia="Arial" w:hAnsi="Arial"/>
          <w:sz w:val="24"/>
          <w:szCs w:val="24"/>
        </w:rPr>
        <w:t xml:space="preserve">VITyarthi E-Learning Platform – CSE0001 Course Brief, VIT Bhopal University, 2024</w:t>
      </w:r>
    </w:p>
    <w:p>
      <w:pPr>
        <w:spacing w:before="400"/>
      </w:pPr>
    </w:p>
    <w:p>
      <w:pPr>
        <w:pBdr>
          <w:top w:val="single" w:color="CCCCCC" w:sz="4"/>
        </w:pBdr>
        <w:spacing w:before="200"/>
        <w:jc w:val="center"/>
      </w:pPr>
      <w:r>
        <w:rPr>
          <w:rFonts w:ascii="Arial" w:cs="Arial" w:eastAsia="Arial" w:hAnsi="Arial"/>
          <w:i/>
          <w:iCs/>
          <w:color w:val="888888"/>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4"/>
      </w:pBdr>
    </w:pPr>
    <w:r>
      <w:rPr>
        <w:rFonts w:ascii="Arial" w:cs="Arial" w:eastAsia="Arial" w:hAnsi="Arial"/>
        <w:b/>
        <w:bCs/>
        <w:color w:val="1A5276"/>
        <w:sz w:val="18"/>
        <w:szCs w:val="18"/>
      </w:rPr>
      <w:t xml:space="preserve">CSE0001 – Digital Literacy  |  Project Report  |  VIT Bhopal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276"/>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2026-03-27T12:47:55.515Z</dcterms:created>
  <dcterms:modified xsi:type="dcterms:W3CDTF">2026-03-27T12:47:55.516Z</dcterms:modified>
</cp:coreProperties>
</file>

<file path=docProps/custom.xml><?xml version="1.0" encoding="utf-8"?>
<Properties xmlns="http://schemas.openxmlformats.org/officeDocument/2006/custom-properties" xmlns:vt="http://schemas.openxmlformats.org/officeDocument/2006/docPropsVTypes"/>
</file>