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2937"/>
          <w:sz w:val="52"/>
          <w:szCs w:val="52"/>
        </w:rPr>
        <w:t xml:space="preserve">Marine Your Career</w:t>
      </w:r>
    </w:p>
    <w:p>
      <w:pPr>
        <w:spacing w:after="30"/>
      </w:pPr>
      <w:r>
        <w:rPr>
          <w:color w:val="2E75B6"/>
          <w:sz w:val="28"/>
          <w:szCs w:val="28"/>
        </w:rPr>
        <w:t xml:space="preserve">ATS Resume Scoring &amp; Optimisation System</w:t>
      </w:r>
    </w:p>
    <w:p>
      <w:pPr>
        <w:spacing w:after="360"/>
      </w:pPr>
      <w:r>
        <w:rPr>
          <w:i/>
          <w:iCs/>
          <w:color w:val="6B7280"/>
          <w:sz w:val="22"/>
          <w:szCs w:val="22"/>
        </w:rPr>
        <w:t xml:space="preserve">Technical Architecture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1D9E0" w:sz="4"/>
              <w:left w:val="single" w:color="D1D9E0" w:sz="4"/>
              <w:bottom w:val="single" w:color="D1D9E0" w:sz="4"/>
              <w:right w:val="single" w:color="D1D9E0" w:sz="4"/>
            </w:tcBorders>
            <w:shd w:fill="EFF6FB" w:val="clear"/>
            <w:tcMar>
              <w:top w:type="dxa" w:w="140"/>
              <w:left w:type="dxa" w:w="160"/>
              <w:bottom w:type="dxa" w:w="140"/>
              <w:right w:type="dxa" w:w="160"/>
            </w:tcMar>
          </w:tcPr>
          <w:p>
            <w:pPr>
              <w:spacing w:after="40"/>
              <w:jc w:val="center"/>
            </w:pPr>
            <w:r>
              <w:rPr>
                <w:b/>
                <w:bCs/>
                <w:color w:val="2E75B6"/>
                <w:sz w:val="30"/>
                <w:szCs w:val="30"/>
              </w:rPr>
              <w:t xml:space="preserve">269</w:t>
            </w:r>
          </w:p>
          <w:p>
            <w:pPr>
              <w:jc w:val="center"/>
            </w:pPr>
            <w:r>
              <w:rPr>
                <w:color w:val="6B7280"/>
                <w:sz w:val="17"/>
                <w:szCs w:val="17"/>
              </w:rPr>
              <w:t xml:space="preserve">Resumes Validated</w:t>
            </w:r>
          </w:p>
        </w:tc>
        <w:tc>
          <w:tcPr>
            <w:tcW w:type="dxa" w:w="2340"/>
            <w:tcBorders>
              <w:top w:val="single" w:color="D1D9E0" w:sz="4"/>
              <w:left w:val="single" w:color="D1D9E0" w:sz="4"/>
              <w:bottom w:val="single" w:color="D1D9E0" w:sz="4"/>
              <w:right w:val="single" w:color="D1D9E0" w:sz="4"/>
            </w:tcBorders>
            <w:shd w:fill="EFF6FB" w:val="clear"/>
            <w:tcMar>
              <w:top w:type="dxa" w:w="140"/>
              <w:left w:type="dxa" w:w="160"/>
              <w:bottom w:type="dxa" w:w="140"/>
              <w:right w:type="dxa" w:w="160"/>
            </w:tcMar>
          </w:tcPr>
          <w:p>
            <w:pPr>
              <w:spacing w:after="40"/>
              <w:jc w:val="center"/>
            </w:pPr>
            <w:r>
              <w:rPr>
                <w:b/>
                <w:bCs/>
                <w:color w:val="2E75B6"/>
                <w:sz w:val="30"/>
                <w:szCs w:val="30"/>
              </w:rPr>
              <w:t xml:space="preserve">+18 pts</w:t>
            </w:r>
          </w:p>
          <w:p>
            <w:pPr>
              <w:jc w:val="center"/>
            </w:pPr>
            <w:r>
              <w:rPr>
                <w:color w:val="6B7280"/>
                <w:sz w:val="17"/>
                <w:szCs w:val="17"/>
              </w:rPr>
              <w:t xml:space="preserve">Avg ATS Improvement</w:t>
            </w:r>
          </w:p>
        </w:tc>
        <w:tc>
          <w:tcPr>
            <w:tcW w:type="dxa" w:w="2340"/>
            <w:tcBorders>
              <w:top w:val="single" w:color="D1D9E0" w:sz="4"/>
              <w:left w:val="single" w:color="D1D9E0" w:sz="4"/>
              <w:bottom w:val="single" w:color="D1D9E0" w:sz="4"/>
              <w:right w:val="single" w:color="D1D9E0" w:sz="4"/>
            </w:tcBorders>
            <w:shd w:fill="EFF6FB" w:val="clear"/>
            <w:tcMar>
              <w:top w:type="dxa" w:w="140"/>
              <w:left w:type="dxa" w:w="160"/>
              <w:bottom w:type="dxa" w:w="140"/>
              <w:right w:type="dxa" w:w="160"/>
            </w:tcMar>
          </w:tcPr>
          <w:p>
            <w:pPr>
              <w:spacing w:after="40"/>
              <w:jc w:val="center"/>
            </w:pPr>
            <w:r>
              <w:rPr>
                <w:b/>
                <w:bCs/>
                <w:color w:val="2E75B6"/>
                <w:sz w:val="30"/>
                <w:szCs w:val="30"/>
              </w:rPr>
              <w:t xml:space="preserve">6</w:t>
            </w:r>
          </w:p>
          <w:p>
            <w:pPr>
              <w:jc w:val="center"/>
            </w:pPr>
            <w:r>
              <w:rPr>
                <w:color w:val="6B7280"/>
                <w:sz w:val="17"/>
                <w:szCs w:val="17"/>
              </w:rPr>
              <w:t xml:space="preserve">Pipeline Stages</w:t>
            </w:r>
          </w:p>
        </w:tc>
        <w:tc>
          <w:tcPr>
            <w:tcW w:type="dxa" w:w="2340"/>
            <w:tcBorders>
              <w:top w:val="single" w:color="D1D9E0" w:sz="4"/>
              <w:left w:val="single" w:color="D1D9E0" w:sz="4"/>
              <w:bottom w:val="single" w:color="D1D9E0" w:sz="4"/>
              <w:right w:val="single" w:color="D1D9E0" w:sz="4"/>
            </w:tcBorders>
            <w:shd w:fill="EFF6FB" w:val="clear"/>
            <w:tcMar>
              <w:top w:type="dxa" w:w="140"/>
              <w:left w:type="dxa" w:w="160"/>
              <w:bottom w:type="dxa" w:w="140"/>
              <w:right w:type="dxa" w:w="160"/>
            </w:tcMar>
          </w:tcPr>
          <w:p>
            <w:pPr>
              <w:spacing w:after="40"/>
              <w:jc w:val="center"/>
            </w:pPr>
            <w:r>
              <w:rPr>
                <w:b/>
                <w:bCs/>
                <w:color w:val="2E75B6"/>
                <w:sz w:val="30"/>
                <w:szCs w:val="30"/>
              </w:rPr>
              <w:t xml:space="preserve">16</w:t>
            </w:r>
          </w:p>
          <w:p>
            <w:pPr>
              <w:jc w:val="center"/>
            </w:pPr>
            <w:r>
              <w:rPr>
                <w:color w:val="6B7280"/>
                <w:sz w:val="17"/>
                <w:szCs w:val="17"/>
              </w:rPr>
              <w:t xml:space="preserve">Maritime Ranks Covered</w:t>
            </w:r>
          </w:p>
        </w:tc>
      </w:tr>
    </w:tbl>
    <w:p>
      <w:pPr>
        <w:spacing w:after="320"/>
      </w:pPr>
    </w:p>
    <w:p>
      <w:pPr>
        <w:pStyle w:val="Heading1"/>
        <w:pBdr>
          <w:bottom w:val="single" w:color="2E75B6" w:sz="8" w:space="4"/>
        </w:pBdr>
        <w:spacing w:after="160" w:before="360"/>
      </w:pPr>
      <w:r>
        <w:t xml:space="preserve">1. The Problem</w:t>
      </w:r>
    </w:p>
    <w:p>
      <w:pPr>
        <w:spacing w:after="140"/>
      </w:pPr>
      <w:r>
        <w:t xml:space="preserve">Indian seafarer resumes are functionally regulatory compliance documents, not marketing documents. Recruiters scan for three things in strict priority order: valid certificates (eligibility gate), unbroken sea service records (verification layer), and vessel type experience (differentiation layer).</w:t>
      </w:r>
    </w:p>
    <w:p>
      <w:pPr>
        <w:spacing w:after="140"/>
      </w:pPr>
      <w:r>
        <w:rPr>
          <w:i/>
          <w:iCs/>
          <w:color w:val="6B7280"/>
        </w:rPr>
        <w:t xml:space="preserve">Most candidates submit Canva-template resumes with multi-column layouts, scattered certification mentions, and no ATS awareness — these get auto-rejected by manning agency screening software before a human ever reads them.</w:t>
      </w:r>
    </w:p>
    <w:p>
      <w:pPr>
        <w:spacing w:after="140"/>
      </w:pPr>
      <w:r>
        <w:t xml:space="preserve">The system ingests a raw resume PDF, scores it against both general ATS rules and maritime-specific domain rules, rewrites it using an LLM, and outputs a clean, ATS-compliant DOCX — with a measurable before/after score.</w:t>
      </w:r>
    </w:p>
    <w:p>
      <w:pPr>
        <w:pStyle w:val="Heading1"/>
        <w:pBdr>
          <w:bottom w:val="single" w:color="2E75B6" w:sz="8" w:space="4"/>
        </w:pBdr>
        <w:spacing w:after="160" w:before="360"/>
      </w:pPr>
      <w:r>
        <w:t xml:space="preserve">2. Pipeline Architecture</w:t>
      </w:r>
    </w:p>
    <w:p>
      <w:pPr>
        <w:spacing w:after="140"/>
      </w:pPr>
      <w:r>
        <w:t xml:space="preserve">Six sequential stages, each independently testable. Five are pure deterministic code; one stage uses an 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3960"/>
        <w:gridCol w:w="2800"/>
      </w:tblGrid>
      <w:tr>
        <w:tc>
          <w:tcPr>
            <w:tcW w:type="dxa" w:w="700"/>
            <w:tcBorders>
              <w:top w:val="single" w:color="D1D9E0" w:sz="4"/>
              <w:left w:val="single" w:color="D1D9E0" w:sz="4"/>
              <w:bottom w:val="single" w:color="D1D9E0" w:sz="4"/>
              <w:right w:val="single" w:color="D1D9E0" w:sz="4"/>
            </w:tcBorders>
            <w:shd w:fill="2E75B6" w:val="clear"/>
            <w:tcMar>
              <w:top w:type="dxa" w:w="100"/>
              <w:left w:type="dxa" w:w="120"/>
              <w:bottom w:type="dxa" w:w="100"/>
              <w:right w:type="dxa" w:w="120"/>
            </w:tcMar>
          </w:tcPr>
          <w:p>
            <w:r>
              <w:rPr>
                <w:b/>
                <w:bCs/>
                <w:color w:val="FFFFFF"/>
                <w:sz w:val="19"/>
                <w:szCs w:val="19"/>
              </w:rPr>
              <w:t xml:space="preserve">#</w:t>
            </w:r>
          </w:p>
        </w:tc>
        <w:tc>
          <w:tcPr>
            <w:tcW w:type="dxa" w:w="1900"/>
            <w:tcBorders>
              <w:top w:val="single" w:color="D1D9E0" w:sz="4"/>
              <w:left w:val="single" w:color="D1D9E0" w:sz="4"/>
              <w:bottom w:val="single" w:color="D1D9E0" w:sz="4"/>
              <w:right w:val="single" w:color="D1D9E0" w:sz="4"/>
            </w:tcBorders>
            <w:shd w:fill="2E75B6" w:val="clear"/>
            <w:tcMar>
              <w:top w:type="dxa" w:w="100"/>
              <w:left w:type="dxa" w:w="120"/>
              <w:bottom w:type="dxa" w:w="100"/>
              <w:right w:type="dxa" w:w="120"/>
            </w:tcMar>
          </w:tcPr>
          <w:p>
            <w:r>
              <w:rPr>
                <w:b/>
                <w:bCs/>
                <w:color w:val="FFFFFF"/>
                <w:sz w:val="19"/>
                <w:szCs w:val="19"/>
              </w:rPr>
              <w:t xml:space="preserve">Stage</w:t>
            </w:r>
          </w:p>
        </w:tc>
        <w:tc>
          <w:tcPr>
            <w:tcW w:type="dxa" w:w="3960"/>
            <w:tcBorders>
              <w:top w:val="single" w:color="D1D9E0" w:sz="4"/>
              <w:left w:val="single" w:color="D1D9E0" w:sz="4"/>
              <w:bottom w:val="single" w:color="D1D9E0" w:sz="4"/>
              <w:right w:val="single" w:color="D1D9E0" w:sz="4"/>
            </w:tcBorders>
            <w:shd w:fill="2E75B6" w:val="clear"/>
            <w:tcMar>
              <w:top w:type="dxa" w:w="100"/>
              <w:left w:type="dxa" w:w="120"/>
              <w:bottom w:type="dxa" w:w="100"/>
              <w:right w:type="dxa" w:w="120"/>
            </w:tcMar>
          </w:tcPr>
          <w:p>
            <w:r>
              <w:rPr>
                <w:b/>
                <w:bCs/>
                <w:color w:val="FFFFFF"/>
                <w:sz w:val="19"/>
                <w:szCs w:val="19"/>
              </w:rPr>
              <w:t xml:space="preserve">What It Does</w:t>
            </w:r>
          </w:p>
        </w:tc>
        <w:tc>
          <w:tcPr>
            <w:tcW w:type="dxa" w:w="2800"/>
            <w:tcBorders>
              <w:top w:val="single" w:color="D1D9E0" w:sz="4"/>
              <w:left w:val="single" w:color="D1D9E0" w:sz="4"/>
              <w:bottom w:val="single" w:color="D1D9E0" w:sz="4"/>
              <w:right w:val="single" w:color="D1D9E0" w:sz="4"/>
            </w:tcBorders>
            <w:shd w:fill="2E75B6" w:val="clear"/>
            <w:tcMar>
              <w:top w:type="dxa" w:w="100"/>
              <w:left w:type="dxa" w:w="120"/>
              <w:bottom w:type="dxa" w:w="100"/>
              <w:right w:type="dxa" w:w="120"/>
            </w:tcMar>
          </w:tcPr>
          <w:p>
            <w:r>
              <w:rPr>
                <w:b/>
                <w:bCs/>
                <w:color w:val="FFFFFF"/>
                <w:sz w:val="19"/>
                <w:szCs w:val="19"/>
              </w:rPr>
              <w:t xml:space="preserve">Tech</w:t>
            </w:r>
          </w:p>
        </w:tc>
      </w:tr>
      <w:tr>
        <w:tc>
          <w:tcPr>
            <w:tcW w:type="dxa" w:w="7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1</w:t>
            </w:r>
          </w:p>
        </w:tc>
        <w:tc>
          <w:tcPr>
            <w:tcW w:type="dxa" w:w="19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b/>
                <w:bCs/>
                <w:sz w:val="19"/>
                <w:szCs w:val="19"/>
              </w:rPr>
              <w:t xml:space="preserve">Extract</w:t>
            </w:r>
          </w:p>
        </w:tc>
        <w:tc>
          <w:tcPr>
            <w:tcW w:type="dxa" w:w="39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Reads PDF/DOCX, detects two-column layouts, reconstructs reading order using word x/y coordinates</w:t>
            </w:r>
          </w:p>
        </w:tc>
        <w:tc>
          <w:tcPr>
            <w:tcW w:type="dxa" w:w="28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pdfplumber, python-docx</w:t>
            </w:r>
          </w:p>
        </w:tc>
      </w:tr>
      <w:tr>
        <w:tc>
          <w:tcPr>
            <w:tcW w:type="dxa" w:w="7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2</w:t>
            </w:r>
          </w:p>
        </w:tc>
        <w:tc>
          <w:tcPr>
            <w:tcW w:type="dxa" w:w="19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b/>
                <w:bCs/>
                <w:sz w:val="19"/>
                <w:szCs w:val="19"/>
              </w:rPr>
              <w:t xml:space="preserve">Parse</w:t>
            </w:r>
          </w:p>
        </w:tc>
        <w:tc>
          <w:tcPr>
            <w:tcW w:type="dxa" w:w="39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Extracts name, contact, sections, skills, rank; pulls sea-service months from PDF service-record tables</w:t>
            </w:r>
          </w:p>
        </w:tc>
        <w:tc>
          <w:tcPr>
            <w:tcW w:type="dxa" w:w="28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spaCy (en_core_web_lg), regex, dateutil</w:t>
            </w:r>
          </w:p>
        </w:tc>
      </w:tr>
      <w:tr>
        <w:tc>
          <w:tcPr>
            <w:tcW w:type="dxa" w:w="7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3</w:t>
            </w:r>
          </w:p>
        </w:tc>
        <w:tc>
          <w:tcPr>
            <w:tcW w:type="dxa" w:w="19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b/>
                <w:bCs/>
                <w:sz w:val="19"/>
                <w:szCs w:val="19"/>
              </w:rPr>
              <w:t xml:space="preserve">Score</w:t>
            </w:r>
          </w:p>
        </w:tc>
        <w:tc>
          <w:tcPr>
            <w:tcW w:type="dxa" w:w="39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ATS score: format (40) + sections (20) + keywords (40), blended TF-IDF + coverage matching</w:t>
            </w:r>
          </w:p>
        </w:tc>
        <w:tc>
          <w:tcPr>
            <w:tcW w:type="dxa" w:w="28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scikit-learn TF-IDF, cosine similarity</w:t>
            </w:r>
          </w:p>
        </w:tc>
      </w:tr>
      <w:tr>
        <w:tc>
          <w:tcPr>
            <w:tcW w:type="dxa" w:w="7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4</w:t>
            </w:r>
          </w:p>
        </w:tc>
        <w:tc>
          <w:tcPr>
            <w:tcW w:type="dxa" w:w="19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b/>
                <w:bCs/>
                <w:sz w:val="19"/>
                <w:szCs w:val="19"/>
              </w:rPr>
              <w:t xml:space="preserve">Maritime Score</w:t>
            </w:r>
          </w:p>
        </w:tc>
        <w:tc>
          <w:tcPr>
            <w:tcW w:type="dxa" w:w="39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Domain rules: cert requirements per rank, sea-service minimums, vessel-type match, bonus differentiation tier</w:t>
            </w:r>
          </w:p>
        </w:tc>
        <w:tc>
          <w:tcPr>
            <w:tcW w:type="dxa" w:w="28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Custom rule engine</w:t>
            </w:r>
          </w:p>
        </w:tc>
      </w:tr>
      <w:tr>
        <w:tc>
          <w:tcPr>
            <w:tcW w:type="dxa" w:w="7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5</w:t>
            </w:r>
          </w:p>
        </w:tc>
        <w:tc>
          <w:tcPr>
            <w:tcW w:type="dxa" w:w="19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b/>
                <w:bCs/>
                <w:sz w:val="19"/>
                <w:szCs w:val="19"/>
              </w:rPr>
              <w:t xml:space="preserve">AI Rewrite</w:t>
            </w:r>
          </w:p>
        </w:tc>
        <w:tc>
          <w:tcPr>
            <w:tcW w:type="dxa" w:w="39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LLM rewrites summary, bullets, skills, certs to ATS spec; raw-text fallback for garbled resumes; output validated, not trusted blindly</w:t>
            </w:r>
          </w:p>
        </w:tc>
        <w:tc>
          <w:tcPr>
            <w:tcW w:type="dxa" w:w="28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Groq API (Llama 3.3 70B)</w:t>
            </w:r>
          </w:p>
        </w:tc>
      </w:tr>
      <w:tr>
        <w:tc>
          <w:tcPr>
            <w:tcW w:type="dxa" w:w="7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6</w:t>
            </w:r>
          </w:p>
        </w:tc>
        <w:tc>
          <w:tcPr>
            <w:tcW w:type="dxa" w:w="19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b/>
                <w:bCs/>
                <w:sz w:val="19"/>
                <w:szCs w:val="19"/>
              </w:rPr>
              <w:t xml:space="preserve">Generate + Re-score</w:t>
            </w:r>
          </w:p>
        </w:tc>
        <w:tc>
          <w:tcPr>
            <w:tcW w:type="dxa" w:w="39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Builds clean single-column DOCX (Arial, no tables, no images), then re-runs the scorer to confirm improvement</w:t>
            </w:r>
          </w:p>
        </w:tc>
        <w:tc>
          <w:tcPr>
            <w:tcW w:type="dxa" w:w="28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python-docx</w:t>
            </w:r>
          </w:p>
        </w:tc>
      </w:tr>
    </w:tbl>
    <w:p>
      <w:pPr>
        <w:spacing w:after="280"/>
      </w:pPr>
    </w:p>
    <w:p>
      <w:pPr>
        <w:spacing w:after="140"/>
      </w:pPr>
      <w:r>
        <w:t xml:space="preserve">Only Stage 5 is non-deterministic. Everything else is pure rules and math — which makes the score explainable: every point gained or lost traces to a named rule (R1–R42), not a black box.</w:t>
      </w:r>
    </w:p>
    <w:p>
      <w:pPr>
        <w:pStyle w:val="Heading1"/>
        <w:pBdr>
          <w:bottom w:val="single" w:color="2E75B6" w:sz="8" w:space="4"/>
        </w:pBdr>
        <w:spacing w:after="160" w:before="360"/>
      </w:pPr>
      <w:r>
        <w:t xml:space="preserve">3. Technology Stack</w:t>
      </w:r>
    </w:p>
    <w:p>
      <w:pPr>
        <w:pStyle w:val="Heading2"/>
        <w:spacing w:after="120" w:before="280"/>
      </w:pPr>
      <w:r>
        <w:t xml:space="preserve">Core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D1D9E0" w:sz="4"/>
              <w:left w:val="single" w:color="D1D9E0" w:sz="4"/>
              <w:bottom w:val="single" w:color="D1D9E0" w:sz="4"/>
              <w:right w:val="single" w:color="D1D9E0" w:sz="4"/>
            </w:tcBorders>
            <w:shd w:fill="2E75B6" w:val="clear"/>
            <w:tcMar>
              <w:top w:type="dxa" w:w="100"/>
              <w:left w:type="dxa" w:w="120"/>
              <w:bottom w:type="dxa" w:w="100"/>
              <w:right w:type="dxa" w:w="120"/>
            </w:tcMar>
          </w:tcPr>
          <w:p>
            <w:r>
              <w:rPr>
                <w:b/>
                <w:bCs/>
                <w:color w:val="FFFFFF"/>
                <w:sz w:val="19"/>
                <w:szCs w:val="19"/>
              </w:rPr>
              <w:t xml:space="preserve">Layer</w:t>
            </w:r>
          </w:p>
        </w:tc>
        <w:tc>
          <w:tcPr>
            <w:tcW w:type="dxa" w:w="2200"/>
            <w:tcBorders>
              <w:top w:val="single" w:color="D1D9E0" w:sz="4"/>
              <w:left w:val="single" w:color="D1D9E0" w:sz="4"/>
              <w:bottom w:val="single" w:color="D1D9E0" w:sz="4"/>
              <w:right w:val="single" w:color="D1D9E0" w:sz="4"/>
            </w:tcBorders>
            <w:shd w:fill="2E75B6" w:val="clear"/>
            <w:tcMar>
              <w:top w:type="dxa" w:w="100"/>
              <w:left w:type="dxa" w:w="120"/>
              <w:bottom w:type="dxa" w:w="100"/>
              <w:right w:type="dxa" w:w="120"/>
            </w:tcMar>
          </w:tcPr>
          <w:p>
            <w:r>
              <w:rPr>
                <w:b/>
                <w:bCs/>
                <w:color w:val="FFFFFF"/>
                <w:sz w:val="19"/>
                <w:szCs w:val="19"/>
              </w:rPr>
              <w:t xml:space="preserve">Tool</w:t>
            </w:r>
          </w:p>
        </w:tc>
        <w:tc>
          <w:tcPr>
            <w:tcW w:type="dxa" w:w="4760"/>
            <w:tcBorders>
              <w:top w:val="single" w:color="D1D9E0" w:sz="4"/>
              <w:left w:val="single" w:color="D1D9E0" w:sz="4"/>
              <w:bottom w:val="single" w:color="D1D9E0" w:sz="4"/>
              <w:right w:val="single" w:color="D1D9E0" w:sz="4"/>
            </w:tcBorders>
            <w:shd w:fill="2E75B6" w:val="clear"/>
            <w:tcMar>
              <w:top w:type="dxa" w:w="100"/>
              <w:left w:type="dxa" w:w="120"/>
              <w:bottom w:type="dxa" w:w="100"/>
              <w:right w:type="dxa" w:w="120"/>
            </w:tcMar>
          </w:tcPr>
          <w:p>
            <w:r>
              <w:rPr>
                <w:b/>
                <w:bCs/>
                <w:color w:val="FFFFFF"/>
                <w:sz w:val="19"/>
                <w:szCs w:val="19"/>
              </w:rPr>
              <w:t xml:space="preserve">Why</w:t>
            </w:r>
          </w:p>
        </w:tc>
      </w:tr>
      <w:tr>
        <w:tc>
          <w:tcPr>
            <w:tcW w:type="dxa" w:w="24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PDF extraction</w:t>
            </w:r>
          </w:p>
        </w:tc>
        <w:tc>
          <w:tcPr>
            <w:tcW w:type="dxa" w:w="22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pdfplumber</w:t>
            </w:r>
          </w:p>
        </w:tc>
        <w:tc>
          <w:tcPr>
            <w:tcW w:type="dxa" w:w="47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Word-level x/y coordinates enable column reconstruction that raw text extraction can't</w:t>
            </w:r>
          </w:p>
        </w:tc>
      </w:tr>
      <w:tr>
        <w:tc>
          <w:tcPr>
            <w:tcW w:type="dxa" w:w="24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NLP / NER</w:t>
            </w:r>
          </w:p>
        </w:tc>
        <w:tc>
          <w:tcPr>
            <w:tcW w:type="dxa" w:w="22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spaCy en_core_web_lg</w:t>
            </w:r>
          </w:p>
        </w:tc>
        <w:tc>
          <w:tcPr>
            <w:tcW w:type="dxa" w:w="47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Pre-trained entity recognition for names; combined with maritime-specific regex for ranks/certs</w:t>
            </w:r>
          </w:p>
        </w:tc>
      </w:tr>
      <w:tr>
        <w:tc>
          <w:tcPr>
            <w:tcW w:type="dxa" w:w="24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Keyword matching</w:t>
            </w:r>
          </w:p>
        </w:tc>
        <w:tc>
          <w:tcPr>
            <w:tcW w:type="dxa" w:w="22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scikit-learn TF-IDF</w:t>
            </w:r>
          </w:p>
        </w:tc>
        <w:tc>
          <w:tcPr>
            <w:tcW w:type="dxa" w:w="47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Blended with raw keyword coverage — cosine similarity alone under-scores short JDs against long resumes</w:t>
            </w:r>
          </w:p>
        </w:tc>
      </w:tr>
      <w:tr>
        <w:tc>
          <w:tcPr>
            <w:tcW w:type="dxa" w:w="24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AI rewriting</w:t>
            </w:r>
          </w:p>
        </w:tc>
        <w:tc>
          <w:tcPr>
            <w:tcW w:type="dxa" w:w="22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Groq API</w:t>
            </w:r>
          </w:p>
        </w:tc>
        <w:tc>
          <w:tcPr>
            <w:tcW w:type="dxa" w:w="47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Free-tier Llama 3.3 70B; fast inference; JSON-mode-style system prompting</w:t>
            </w:r>
          </w:p>
        </w:tc>
      </w:tr>
      <w:tr>
        <w:tc>
          <w:tcPr>
            <w:tcW w:type="dxa" w:w="24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Document generation</w:t>
            </w:r>
          </w:p>
        </w:tc>
        <w:tc>
          <w:tcPr>
            <w:tcW w:type="dxa" w:w="22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python-docx</w:t>
            </w:r>
          </w:p>
        </w:tc>
        <w:tc>
          <w:tcPr>
            <w:tcW w:type="dxa" w:w="47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Full control over ATS-compliant structure — no tables, no columns, no text boxes</w:t>
            </w:r>
          </w:p>
        </w:tc>
      </w:tr>
    </w:tbl>
    <w:p>
      <w:pPr>
        <w:spacing w:after="240"/>
      </w:pPr>
    </w:p>
    <w:p>
      <w:pPr>
        <w:pStyle w:val="Heading2"/>
        <w:spacing w:after="120" w:before="280"/>
      </w:pPr>
      <w:r>
        <w:t xml:space="preserve">API &amp;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D1D9E0" w:sz="4"/>
              <w:left w:val="single" w:color="D1D9E0" w:sz="4"/>
              <w:bottom w:val="single" w:color="D1D9E0" w:sz="4"/>
              <w:right w:val="single" w:color="D1D9E0" w:sz="4"/>
            </w:tcBorders>
            <w:shd w:fill="2E75B6" w:val="clear"/>
            <w:tcMar>
              <w:top w:type="dxa" w:w="100"/>
              <w:left w:type="dxa" w:w="120"/>
              <w:bottom w:type="dxa" w:w="100"/>
              <w:right w:type="dxa" w:w="120"/>
            </w:tcMar>
          </w:tcPr>
          <w:p>
            <w:r>
              <w:rPr>
                <w:b/>
                <w:bCs/>
                <w:color w:val="FFFFFF"/>
                <w:sz w:val="19"/>
                <w:szCs w:val="19"/>
              </w:rPr>
              <w:t xml:space="preserve">Layer</w:t>
            </w:r>
          </w:p>
        </w:tc>
        <w:tc>
          <w:tcPr>
            <w:tcW w:type="dxa" w:w="2200"/>
            <w:tcBorders>
              <w:top w:val="single" w:color="D1D9E0" w:sz="4"/>
              <w:left w:val="single" w:color="D1D9E0" w:sz="4"/>
              <w:bottom w:val="single" w:color="D1D9E0" w:sz="4"/>
              <w:right w:val="single" w:color="D1D9E0" w:sz="4"/>
            </w:tcBorders>
            <w:shd w:fill="2E75B6" w:val="clear"/>
            <w:tcMar>
              <w:top w:type="dxa" w:w="100"/>
              <w:left w:type="dxa" w:w="120"/>
              <w:bottom w:type="dxa" w:w="100"/>
              <w:right w:type="dxa" w:w="120"/>
            </w:tcMar>
          </w:tcPr>
          <w:p>
            <w:r>
              <w:rPr>
                <w:b/>
                <w:bCs/>
                <w:color w:val="FFFFFF"/>
                <w:sz w:val="19"/>
                <w:szCs w:val="19"/>
              </w:rPr>
              <w:t xml:space="preserve">Tool</w:t>
            </w:r>
          </w:p>
        </w:tc>
        <w:tc>
          <w:tcPr>
            <w:tcW w:type="dxa" w:w="4760"/>
            <w:tcBorders>
              <w:top w:val="single" w:color="D1D9E0" w:sz="4"/>
              <w:left w:val="single" w:color="D1D9E0" w:sz="4"/>
              <w:bottom w:val="single" w:color="D1D9E0" w:sz="4"/>
              <w:right w:val="single" w:color="D1D9E0" w:sz="4"/>
            </w:tcBorders>
            <w:shd w:fill="2E75B6" w:val="clear"/>
            <w:tcMar>
              <w:top w:type="dxa" w:w="100"/>
              <w:left w:type="dxa" w:w="120"/>
              <w:bottom w:type="dxa" w:w="100"/>
              <w:right w:type="dxa" w:w="120"/>
            </w:tcMar>
          </w:tcPr>
          <w:p>
            <w:r>
              <w:rPr>
                <w:b/>
                <w:bCs/>
                <w:color w:val="FFFFFF"/>
                <w:sz w:val="19"/>
                <w:szCs w:val="19"/>
              </w:rPr>
              <w:t xml:space="preserve">Why</w:t>
            </w:r>
          </w:p>
        </w:tc>
      </w:tr>
      <w:tr>
        <w:tc>
          <w:tcPr>
            <w:tcW w:type="dxa" w:w="24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API framework</w:t>
            </w:r>
          </w:p>
        </w:tc>
        <w:tc>
          <w:tcPr>
            <w:tcW w:type="dxa" w:w="22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FastAPI</w:t>
            </w:r>
          </w:p>
        </w:tc>
        <w:tc>
          <w:tcPr>
            <w:tcW w:type="dxa" w:w="47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Async, auto-docs, native background task support for long-running pipeline jobs</w:t>
            </w:r>
          </w:p>
        </w:tc>
      </w:tr>
      <w:tr>
        <w:tc>
          <w:tcPr>
            <w:tcW w:type="dxa" w:w="24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Job queue</w:t>
            </w:r>
          </w:p>
        </w:tc>
        <w:tc>
          <w:tcPr>
            <w:tcW w:type="dxa" w:w="22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BackgroundTasks</w:t>
            </w:r>
          </w:p>
        </w:tc>
        <w:tc>
          <w:tcPr>
            <w:tcW w:type="dxa" w:w="47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Sufficient at current scale; designed to swap for Celery + Redis without API changes</w:t>
            </w:r>
          </w:p>
        </w:tc>
      </w:tr>
      <w:tr>
        <w:tc>
          <w:tcPr>
            <w:tcW w:type="dxa" w:w="24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Database</w:t>
            </w:r>
          </w:p>
        </w:tc>
        <w:tc>
          <w:tcPr>
            <w:tcW w:type="dxa" w:w="22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SQLite (WAL mode)</w:t>
            </w:r>
          </w:p>
        </w:tc>
        <w:tc>
          <w:tcPr>
            <w:tcW w:type="dxa" w:w="47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Zero-ops persistence for job state; WAL mode enables concurrent reads during writes</w:t>
            </w:r>
          </w:p>
        </w:tc>
      </w:tr>
      <w:tr>
        <w:tc>
          <w:tcPr>
            <w:tcW w:type="dxa" w:w="24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Auth</w:t>
            </w:r>
          </w:p>
        </w:tc>
        <w:tc>
          <w:tcPr>
            <w:tcW w:type="dxa" w:w="22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API key header</w:t>
            </w:r>
          </w:p>
        </w:tc>
        <w:tc>
          <w:tcPr>
            <w:tcW w:type="dxa" w:w="47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Simple shared-secret auth appropriate for a single trusted client (MYC's app backend)</w:t>
            </w:r>
          </w:p>
        </w:tc>
      </w:tr>
      <w:tr>
        <w:tc>
          <w:tcPr>
            <w:tcW w:type="dxa" w:w="24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Server</w:t>
            </w:r>
          </w:p>
        </w:tc>
        <w:tc>
          <w:tcPr>
            <w:tcW w:type="dxa" w:w="220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Uvicorn (2 workers)</w:t>
            </w:r>
          </w:p>
        </w:tc>
        <w:tc>
          <w:tcPr>
            <w:tcW w:type="dxa" w:w="476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ASGI server; worker count matched to SQLite WAL's safe concurrency ceiling</w:t>
            </w:r>
          </w:p>
        </w:tc>
      </w:tr>
    </w:tbl>
    <w:p>
      <w:pPr>
        <w:pStyle w:val="Heading1"/>
        <w:pBdr>
          <w:bottom w:val="single" w:color="2E75B6" w:sz="8" w:space="4"/>
        </w:pBdr>
        <w:spacing w:after="160" w:before="360"/>
      </w:pPr>
      <w:r>
        <w:t xml:space="preserve">4. Scoring Engine Design</w:t>
      </w:r>
    </w:p>
    <w:p>
      <w:pPr>
        <w:spacing w:after="140"/>
      </w:pPr>
      <w:r>
        <w:t xml:space="preserve">Two independent scorers run in parallel on every resume.</w:t>
      </w:r>
    </w:p>
    <w:p>
      <w:pPr>
        <w:pStyle w:val="Heading2"/>
        <w:spacing w:after="120" w:before="280"/>
      </w:pPr>
      <w:r>
        <w:t xml:space="preserve">ATS Score — /100</w:t>
      </w:r>
    </w:p>
    <w:p>
      <w:pPr>
        <w:pStyle w:val="ListParagraph"/>
        <w:numPr>
          <w:ilvl w:val="0"/>
          <w:numId w:val="2"/>
        </w:numPr>
        <w:spacing w:after="60"/>
      </w:pPr>
      <w:r>
        <w:t xml:space="preserve">Format (40 pts): single-column layout, no tables/images, fonts, contact parseability, no special characters, active voice, quantified achievements</w:t>
      </w:r>
    </w:p>
    <w:p>
      <w:pPr>
        <w:pStyle w:val="ListParagraph"/>
        <w:numPr>
          <w:ilvl w:val="0"/>
          <w:numId w:val="2"/>
        </w:numPr>
        <w:spacing w:after="60"/>
      </w:pPr>
      <w:r>
        <w:t xml:space="preserve">Sections (20 pts): presence and quality of Summary, Experience, Education, Skills, Certifications — detected from both parsed structure and raw text (handles generated-DOCX re-scoring)</w:t>
      </w:r>
    </w:p>
    <w:p>
      <w:pPr>
        <w:pStyle w:val="ListParagraph"/>
        <w:numPr>
          <w:ilvl w:val="0"/>
          <w:numId w:val="2"/>
        </w:numPr>
        <w:spacing w:after="60"/>
      </w:pPr>
      <w:r>
        <w:t xml:space="preserve">Keywords (40 pts): blended score — 70% weight on raw JD-keyword coverage (filtered for stopwords), 30% weight on TF-IDF cosine similarity. Pure cosine under-scores short job descriptions against long resumes; pure keyword-count over-rewards stuffing</w:t>
      </w:r>
    </w:p>
    <w:p>
      <w:pPr>
        <w:pStyle w:val="Heading2"/>
        <w:spacing w:after="120" w:before="280"/>
      </w:pPr>
      <w:r>
        <w:t xml:space="preserve">Maritime Score — /65 base + /20 bonus</w:t>
      </w:r>
    </w:p>
    <w:p>
      <w:pPr>
        <w:pStyle w:val="ListParagraph"/>
        <w:numPr>
          <w:ilvl w:val="0"/>
          <w:numId w:val="2"/>
        </w:numPr>
        <w:spacing w:after="60"/>
      </w:pPr>
      <w:r>
        <w:t xml:space="preserve">Certificate coverage (25 pts): rank-specific requirement table — e.g. Third Officer needs CoC + STCW + ENG1, Chief Officer additionally needs GMDSS. Alias matching handles real-world phrasing variance (INDOS number and CDC number serve as ENG1 proxies, since Indian seafarers' resumes rarely state ENG1 explicitly but registration implies it)</w:t>
      </w:r>
    </w:p>
    <w:p>
      <w:pPr>
        <w:pStyle w:val="ListParagraph"/>
        <w:numPr>
          <w:ilvl w:val="0"/>
          <w:numId w:val="2"/>
        </w:numPr>
        <w:spacing w:after="60"/>
      </w:pPr>
      <w:r>
        <w:t xml:space="preserve">Sea service (20 pts): extracted directly from the PDF's service-record table (sign-on/sign-off date pairs), not estimated from work-experience text — far more reliable on Canva templates</w:t>
      </w:r>
    </w:p>
    <w:p>
      <w:pPr>
        <w:pStyle w:val="ListParagraph"/>
        <w:numPr>
          <w:ilvl w:val="0"/>
          <w:numId w:val="2"/>
        </w:numPr>
        <w:spacing w:after="60"/>
      </w:pPr>
      <w:r>
        <w:t xml:space="preserve">Vessel type match (10 pts) and rank detection (10 pts)</w:t>
      </w:r>
    </w:p>
    <w:p>
      <w:pPr>
        <w:pStyle w:val="ListParagraph"/>
        <w:numPr>
          <w:ilvl w:val="0"/>
          <w:numId w:val="2"/>
        </w:numPr>
        <w:spacing w:after="60"/>
      </w:pPr>
      <w:r>
        <w:t xml:space="preserve">Bonus tier (0–20 pts): differentiates candidates who all hit the scoring ceiling — sea-service depth beyond minimum, vessel-type diversity, full cert coverage, senior-rank premium. Without this, ~45% of candidates clustered at the same maximum score with no way to rank them</w:t>
      </w:r>
    </w:p>
    <w:p>
      <w:pPr>
        <w:pStyle w:val="Heading1"/>
        <w:pBdr>
          <w:bottom w:val="single" w:color="2E75B6" w:sz="8" w:space="4"/>
        </w:pBdr>
        <w:spacing w:after="160" w:before="360"/>
      </w:pPr>
      <w:r>
        <w:t xml:space="preserve">5. Key Engineering Decisions</w:t>
      </w:r>
    </w:p>
    <w:p>
      <w:pPr>
        <w:pStyle w:val="Heading2"/>
        <w:spacing w:after="120" w:before="280"/>
      </w:pPr>
      <w:r>
        <w:t xml:space="preserve">Word-coordinate column reconstruction</w:t>
      </w:r>
    </w:p>
    <w:p>
      <w:pPr>
        <w:spacing w:after="140"/>
      </w:pPr>
      <w:r>
        <w:t xml:space="preserve">The single hardest technical problem. Canva PDFs store text in stream order, not visual order — naive column-cropping joins mid-word fragments ("Fourt" + "h Engineer" instead of "Fourth Engineer"). The fix extracts every word's x/y position via pdfplumber, groups words into visual lines by y-coordinate, sorts each line left-to-right by x-coordinate, then reconstructs text per column. This is full layout reconstruction from primitives, not a text-processing patch.</w:t>
      </w:r>
    </w:p>
    <w:p>
      <w:pPr>
        <w:pStyle w:val="Heading2"/>
        <w:spacing w:after="120" w:before="280"/>
      </w:pPr>
      <w:r>
        <w:t xml:space="preserve">LLM output is validated, never trusted blindly</w:t>
      </w:r>
    </w:p>
    <w:p>
      <w:pPr>
        <w:spacing w:after="140"/>
      </w:pPr>
      <w:r>
        <w:t xml:space="preserve">Three safety layers around the Groq call: (1) a raw-text fallback triggers when parsed sections are too thin — common on heavily-garbled resumes — sending the LLM unprocessed text to reconstruct from; (2) post-generation validation checks for placeholder text, empty sections, and hallucinated entities not present in the source; (3) a deterministic minimum-quality patch pads skill lists and fixes certificate formatting without ever inventing facts.</w:t>
      </w:r>
    </w:p>
    <w:p>
      <w:pPr>
        <w:pStyle w:val="Heading2"/>
        <w:spacing w:after="120" w:before="280"/>
      </w:pPr>
      <w:r>
        <w:t xml:space="preserve">Re-scoring closes the loop</w:t>
      </w:r>
    </w:p>
    <w:p>
      <w:pPr>
        <w:spacing w:after="140"/>
      </w:pPr>
      <w:r>
        <w:t xml:space="preserve">After the DOCX is generated, the full extraction and scoring pipeline runs again on the output. This is the only way to verify the rewrite actually improved the ATS score rather than trusting the LLM's self-reported "issues fixed" list.</w:t>
      </w:r>
    </w:p>
    <w:p>
      <w:pPr>
        <w:pStyle w:val="Heading2"/>
        <w:spacing w:after="120" w:before="280"/>
      </w:pPr>
      <w:r>
        <w:t xml:space="preserve">Sea months from structured tables, not narrative text</w:t>
      </w:r>
    </w:p>
    <w:p>
      <w:pPr>
        <w:spacing w:after="140"/>
      </w:pPr>
      <w:r>
        <w:t xml:space="preserve">Early versions parsed work-experience bullet text for date ranges, producing wildly inaccurate totals (one candidate showed 277 months from misread passport/visa dates). The fix targets the PDF's actual "Seafarer's Service Record" table specifically — DD/MM/YYYY sign-on/sign-off pairs — with overlap deduplication for cadet-to-officer transitions on the same vessel.</w:t>
      </w:r>
    </w:p>
    <w:p>
      <w:pPr>
        <w:pStyle w:val="Heading1"/>
        <w:pBdr>
          <w:bottom w:val="single" w:color="2E75B6" w:sz="8" w:space="4"/>
        </w:pBdr>
        <w:spacing w:after="160" w:before="360"/>
      </w:pPr>
      <w:r>
        <w:t xml:space="preserve">6. Validation Results</w:t>
      </w:r>
    </w:p>
    <w:p>
      <w:pPr>
        <w:spacing w:after="140"/>
      </w:pPr>
      <w:r>
        <w:t xml:space="preserve">269 real candidate resumes processed end-to-end, zero pipeline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D1D9E0" w:sz="4"/>
              <w:left w:val="single" w:color="D1D9E0" w:sz="4"/>
              <w:bottom w:val="single" w:color="D1D9E0" w:sz="4"/>
              <w:right w:val="single" w:color="D1D9E0" w:sz="4"/>
            </w:tcBorders>
            <w:shd w:fill="2E75B6" w:val="clear"/>
            <w:tcMar>
              <w:top w:type="dxa" w:w="100"/>
              <w:left w:type="dxa" w:w="120"/>
              <w:bottom w:type="dxa" w:w="100"/>
              <w:right w:type="dxa" w:w="120"/>
            </w:tcMar>
          </w:tcPr>
          <w:p>
            <w:r>
              <w:rPr>
                <w:b/>
                <w:bCs/>
                <w:color w:val="FFFFFF"/>
                <w:sz w:val="19"/>
                <w:szCs w:val="19"/>
              </w:rPr>
              <w:t xml:space="preserve">Metric</w:t>
            </w:r>
          </w:p>
        </w:tc>
        <w:tc>
          <w:tcPr>
            <w:tcW w:type="dxa" w:w="2340"/>
            <w:tcBorders>
              <w:top w:val="single" w:color="D1D9E0" w:sz="4"/>
              <w:left w:val="single" w:color="D1D9E0" w:sz="4"/>
              <w:bottom w:val="single" w:color="D1D9E0" w:sz="4"/>
              <w:right w:val="single" w:color="D1D9E0" w:sz="4"/>
            </w:tcBorders>
            <w:shd w:fill="2E75B6" w:val="clear"/>
            <w:tcMar>
              <w:top w:type="dxa" w:w="100"/>
              <w:left w:type="dxa" w:w="120"/>
              <w:bottom w:type="dxa" w:w="100"/>
              <w:right w:type="dxa" w:w="120"/>
            </w:tcMar>
          </w:tcPr>
          <w:p>
            <w:r>
              <w:rPr>
                <w:b/>
                <w:bCs/>
                <w:color w:val="FFFFFF"/>
                <w:sz w:val="19"/>
                <w:szCs w:val="19"/>
              </w:rPr>
              <w:t xml:space="preserve">Before</w:t>
            </w:r>
          </w:p>
        </w:tc>
        <w:tc>
          <w:tcPr>
            <w:tcW w:type="dxa" w:w="2340"/>
            <w:tcBorders>
              <w:top w:val="single" w:color="D1D9E0" w:sz="4"/>
              <w:left w:val="single" w:color="D1D9E0" w:sz="4"/>
              <w:bottom w:val="single" w:color="D1D9E0" w:sz="4"/>
              <w:right w:val="single" w:color="D1D9E0" w:sz="4"/>
            </w:tcBorders>
            <w:shd w:fill="2E75B6" w:val="clear"/>
            <w:tcMar>
              <w:top w:type="dxa" w:w="100"/>
              <w:left w:type="dxa" w:w="120"/>
              <w:bottom w:type="dxa" w:w="100"/>
              <w:right w:type="dxa" w:w="120"/>
            </w:tcMar>
          </w:tcPr>
          <w:p>
            <w:r>
              <w:rPr>
                <w:b/>
                <w:bCs/>
                <w:color w:val="FFFFFF"/>
                <w:sz w:val="19"/>
                <w:szCs w:val="19"/>
              </w:rPr>
              <w:t xml:space="preserve">After Fixes</w:t>
            </w:r>
          </w:p>
        </w:tc>
      </w:tr>
      <w:tr>
        <w:tc>
          <w:tcPr>
            <w:tcW w:type="dxa" w:w="468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Avg ATS Score</w:t>
            </w:r>
          </w:p>
        </w:tc>
        <w:tc>
          <w:tcPr>
            <w:tcW w:type="dxa" w:w="234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63.4 / 100</w:t>
            </w:r>
          </w:p>
        </w:tc>
        <w:tc>
          <w:tcPr>
            <w:tcW w:type="dxa" w:w="234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69.1 / 100</w:t>
            </w:r>
          </w:p>
        </w:tc>
      </w:tr>
      <w:tr>
        <w:tc>
          <w:tcPr>
            <w:tcW w:type="dxa" w:w="468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Avg Maritime Score</w:t>
            </w:r>
          </w:p>
        </w:tc>
        <w:tc>
          <w:tcPr>
            <w:tcW w:type="dxa" w:w="234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54.1 / 65</w:t>
            </w:r>
          </w:p>
        </w:tc>
        <w:tc>
          <w:tcPr>
            <w:tcW w:type="dxa" w:w="234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70.7 / 85</w:t>
            </w:r>
          </w:p>
        </w:tc>
      </w:tr>
      <w:tr>
        <w:tc>
          <w:tcPr>
            <w:tcW w:type="dxa" w:w="468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Resumes with 0 sea months detected</w:t>
            </w:r>
          </w:p>
        </w:tc>
        <w:tc>
          <w:tcPr>
            <w:tcW w:type="dxa" w:w="234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56</w:t>
            </w:r>
          </w:p>
        </w:tc>
        <w:tc>
          <w:tcPr>
            <w:tcW w:type="dxa" w:w="234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2</w:t>
            </w:r>
          </w:p>
        </w:tc>
      </w:tr>
      <w:tr>
        <w:tc>
          <w:tcPr>
            <w:tcW w:type="dxa" w:w="468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ATS FAIL grade</w:t>
            </w:r>
          </w:p>
        </w:tc>
        <w:tc>
          <w:tcPr>
            <w:tcW w:type="dxa" w:w="234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82</w:t>
            </w:r>
          </w:p>
        </w:tc>
        <w:tc>
          <w:tcPr>
            <w:tcW w:type="dxa" w:w="234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1</w:t>
            </w:r>
          </w:p>
        </w:tc>
      </w:tr>
      <w:tr>
        <w:tc>
          <w:tcPr>
            <w:tcW w:type="dxa" w:w="468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Sample candidate (Third Engineer)</w:t>
            </w:r>
          </w:p>
        </w:tc>
        <w:tc>
          <w:tcPr>
            <w:tcW w:type="dxa" w:w="234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56 / 100</w:t>
            </w:r>
          </w:p>
        </w:tc>
        <w:tc>
          <w:tcPr>
            <w:tcW w:type="dxa" w:w="2340"/>
            <w:tcBorders>
              <w:top w:val="single" w:color="D1D9E0" w:sz="4"/>
              <w:left w:val="single" w:color="D1D9E0" w:sz="4"/>
              <w:bottom w:val="single" w:color="D1D9E0" w:sz="4"/>
              <w:right w:val="single" w:color="D1D9E0" w:sz="4"/>
            </w:tcBorders>
            <w:tcMar>
              <w:top w:type="dxa" w:w="90"/>
              <w:left w:type="dxa" w:w="120"/>
              <w:bottom w:type="dxa" w:w="90"/>
              <w:right w:type="dxa" w:w="120"/>
            </w:tcMar>
          </w:tcPr>
          <w:p>
            <w:r>
              <w:rPr>
                <w:sz w:val="19"/>
                <w:szCs w:val="19"/>
              </w:rPr>
              <w:t xml:space="preserve">85 / 100</w:t>
            </w:r>
          </w:p>
        </w:tc>
      </w:tr>
    </w:tbl>
    <w:p>
      <w:pPr>
        <w:spacing w:after="280"/>
      </w:pPr>
    </w:p>
    <w:p>
      <w:pPr>
        <w:spacing w:after="140"/>
      </w:pPr>
      <w:r>
        <w:t xml:space="preserve">Individual end-to-end test (Aashutosh Krishna, Third Engineer): 56 → 85, FAIL to EXCELLENT, after fixing the column-reconstruction bug that was truncating company and vessel names.</w:t>
      </w:r>
    </w:p>
    <w:p>
      <w:pPr>
        <w:pStyle w:val="Heading1"/>
        <w:pBdr>
          <w:bottom w:val="single" w:color="2E75B6" w:sz="8" w:space="4"/>
        </w:pBdr>
        <w:spacing w:after="160" w:before="360"/>
      </w:pPr>
      <w:r>
        <w:t xml:space="preserve">7. Production Hardening Applied</w:t>
      </w:r>
    </w:p>
    <w:p>
      <w:pPr>
        <w:pStyle w:val="ListParagraph"/>
        <w:numPr>
          <w:ilvl w:val="0"/>
          <w:numId w:val="2"/>
        </w:numPr>
        <w:spacing w:after="60"/>
      </w:pPr>
      <w:r>
        <w:rPr>
          <w:b w:val="false"/>
          <w:bCs w:val="false"/>
        </w:rPr>
        <w:t xml:space="preserve">API-key authentication on every endpoint</w:t>
      </w:r>
    </w:p>
    <w:p>
      <w:pPr>
        <w:pStyle w:val="ListParagraph"/>
        <w:numPr>
          <w:ilvl w:val="0"/>
          <w:numId w:val="2"/>
        </w:numPr>
        <w:spacing w:after="60"/>
      </w:pPr>
      <w:r>
        <w:t xml:space="preserve">File validation: size limits, extension whitelist, magic-byte verification (rejects disguised file types)</w:t>
      </w:r>
    </w:p>
    <w:p>
      <w:pPr>
        <w:pStyle w:val="ListParagraph"/>
        <w:numPr>
          <w:ilvl w:val="0"/>
          <w:numId w:val="2"/>
        </w:numPr>
        <w:spacing w:after="60"/>
      </w:pPr>
      <w:r>
        <w:t xml:space="preserve">PII redaction filter on all log output (emails, phones, passport/CDC/INDOS numbers)</w:t>
      </w:r>
    </w:p>
    <w:p>
      <w:pPr>
        <w:pStyle w:val="ListParagraph"/>
        <w:numPr>
          <w:ilvl w:val="0"/>
          <w:numId w:val="2"/>
        </w:numPr>
        <w:spacing w:after="60"/>
      </w:pPr>
      <w:r>
        <w:t xml:space="preserve">SHA-256 deduplication — identical resumes submitted within 24h return cached results instead of reprocessing</w:t>
      </w:r>
    </w:p>
    <w:p>
      <w:pPr>
        <w:pStyle w:val="ListParagraph"/>
        <w:numPr>
          <w:ilvl w:val="0"/>
          <w:numId w:val="2"/>
        </w:numPr>
        <w:spacing w:after="60"/>
      </w:pPr>
      <w:r>
        <w:t xml:space="preserve">TTL-based output cleanup (48h) with a GDPR-style right-to-erasure delete endpoint</w:t>
      </w:r>
    </w:p>
    <w:p>
      <w:pPr>
        <w:pStyle w:val="ListParagraph"/>
        <w:numPr>
          <w:ilvl w:val="0"/>
          <w:numId w:val="2"/>
        </w:numPr>
        <w:spacing w:after="60"/>
      </w:pPr>
      <w:r>
        <w:t xml:space="preserve">Disk-space and Groq-connectivity health checks for monitoring</w:t>
      </w:r>
    </w:p>
    <w:p>
      <w:pPr>
        <w:pStyle w:val="ListParagraph"/>
        <w:numPr>
          <w:ilvl w:val="0"/>
          <w:numId w:val="2"/>
        </w:numPr>
        <w:spacing w:after="60"/>
      </w:pPr>
      <w:r>
        <w:t xml:space="preserve">Structured JSON logging throughout the pipeline</w:t>
      </w:r>
    </w:p>
    <w:p>
      <w:pPr>
        <w:pStyle w:val="Heading1"/>
        <w:pBdr>
          <w:bottom w:val="single" w:color="2E75B6" w:sz="8" w:space="4"/>
        </w:pBdr>
        <w:spacing w:after="160" w:before="360"/>
      </w:pPr>
      <w:r>
        <w:t xml:space="preserve">8. Roadmap</w:t>
      </w:r>
    </w:p>
    <w:p>
      <w:pPr>
        <w:pStyle w:val="ListParagraph"/>
        <w:numPr>
          <w:ilvl w:val="0"/>
          <w:numId w:val="2"/>
        </w:numPr>
        <w:spacing w:after="60"/>
      </w:pPr>
      <w:r>
        <w:t xml:space="preserve">Custom spaCy NER model fine-tuned on the 5,000-resume corpus — replaces regex-based rank/cert/vessel extraction with a trained model for the long tail of phrasing variance</w:t>
      </w:r>
    </w:p>
    <w:p>
      <w:pPr>
        <w:pStyle w:val="ListParagraph"/>
        <w:numPr>
          <w:ilvl w:val="0"/>
          <w:numId w:val="2"/>
        </w:numPr>
        <w:spacing w:after="60"/>
      </w:pPr>
      <w:r>
        <w:t xml:space="preserve">Placement-outcome prediction model once 500+ MYC placement records accumulate — the genuine differentiator, since no competitor has outcome data on Indian maritime placements</w:t>
      </w:r>
    </w:p>
    <w:p>
      <w:pPr>
        <w:pStyle w:val="ListParagraph"/>
        <w:numPr>
          <w:ilvl w:val="0"/>
          <w:numId w:val="2"/>
        </w:numPr>
        <w:spacing w:after="60"/>
      </w:pPr>
      <w:r>
        <w:t xml:space="preserve">PostgreSQL migration and Celery/Redis job queue if concurrent load exceeds SQLite WAL's safe ceiling</w:t>
      </w:r>
    </w:p>
    <w:p>
      <w:pPr>
        <w:pStyle w:val="ListParagraph"/>
        <w:numPr>
          <w:ilvl w:val="0"/>
          <w:numId w:val="2"/>
        </w:numPr>
        <w:spacing w:after="60"/>
      </w:pPr>
      <w:r>
        <w:t xml:space="preserve">Human-in-the-loop review queue for resumes flagged by output validation before delivery to candidates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Marine Your Career — ATS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2E75B6"/>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F293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2026-06-21T18:07:32.570Z</dcterms:created>
  <dcterms:modified xsi:type="dcterms:W3CDTF">2026-06-21T18:07:32.570Z</dcterms:modified>
</cp:coreProperties>
</file>

<file path=docProps/custom.xml><?xml version="1.0" encoding="utf-8"?>
<Properties xmlns="http://schemas.openxmlformats.org/officeDocument/2006/custom-properties" xmlns:vt="http://schemas.openxmlformats.org/officeDocument/2006/docPropsVTypes"/>
</file>