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36"/>
        </w:rPr>
        <w:t>Real-Time Fraud Detection System</w:t>
      </w:r>
    </w:p>
    <w:p>
      <w:pPr>
        <w:spacing w:after="80"/>
        <w:jc w:val="center"/>
      </w:pPr>
      <w:r>
        <w:rPr>
          <w:color w:val="4B5563"/>
          <w:sz w:val="18"/>
        </w:rPr>
        <w:t>Shreya Dey | IEEE-CIS Fraud Detection | AI &amp; Data Analytics</w:t>
      </w:r>
    </w:p>
    <w:tbl>
      <w:tblPr>
        <w:tblW w:type="auto" w:w="0"/>
        <w:jc w:val="center"/>
        <w:tblLook w:firstColumn="1" w:firstRow="1" w:lastColumn="0" w:lastRow="0" w:noHBand="0" w:noVBand="1" w:val="04A0"/>
      </w:tblPr>
      <w:tblGrid>
        <w:gridCol w:w="2664"/>
        <w:gridCol w:w="2664"/>
        <w:gridCol w:w="2664"/>
        <w:gridCol w:w="2664"/>
      </w:tblGrid>
      <w:tr>
        <w:tc>
          <w:tcPr>
            <w:tcW w:type="dxa" w:w="2664"/>
            <w:shd w:fill="1F4E79"/>
            <w:vAlign w:val="center"/>
          </w:tcPr>
          <w:p>
            <w:pPr>
              <w:jc w:val="center"/>
            </w:pPr>
            <w:r/>
            <w:r>
              <w:rPr>
                <w:b/>
                <w:color w:val="FFFFFF"/>
                <w:sz w:val="17"/>
              </w:rPr>
              <w:t>Best Model</w:t>
            </w:r>
          </w:p>
        </w:tc>
        <w:tc>
          <w:tcPr>
            <w:tcW w:type="dxa" w:w="2664"/>
            <w:shd w:fill="1F4E79"/>
            <w:vAlign w:val="center"/>
          </w:tcPr>
          <w:p>
            <w:pPr>
              <w:jc w:val="center"/>
            </w:pPr>
            <w:r/>
            <w:r>
              <w:rPr>
                <w:b/>
                <w:color w:val="FFFFFF"/>
                <w:sz w:val="17"/>
              </w:rPr>
              <w:t>PR-AUC</w:t>
            </w:r>
          </w:p>
        </w:tc>
        <w:tc>
          <w:tcPr>
            <w:tcW w:type="dxa" w:w="2664"/>
            <w:shd w:fill="1F4E79"/>
            <w:vAlign w:val="center"/>
          </w:tcPr>
          <w:p>
            <w:pPr>
              <w:jc w:val="center"/>
            </w:pPr>
            <w:r/>
            <w:r>
              <w:rPr>
                <w:b/>
                <w:color w:val="FFFFFF"/>
                <w:sz w:val="17"/>
              </w:rPr>
              <w:t>ROC-AUC</w:t>
            </w:r>
          </w:p>
        </w:tc>
        <w:tc>
          <w:tcPr>
            <w:tcW w:type="dxa" w:w="2664"/>
            <w:shd w:fill="1F4E79"/>
            <w:vAlign w:val="center"/>
          </w:tcPr>
          <w:p>
            <w:pPr>
              <w:jc w:val="center"/>
            </w:pPr>
            <w:r/>
            <w:r>
              <w:rPr>
                <w:b/>
                <w:color w:val="FFFFFF"/>
                <w:sz w:val="17"/>
              </w:rPr>
              <w:t>Best Threshold</w:t>
            </w:r>
          </w:p>
        </w:tc>
      </w:tr>
      <w:tr>
        <w:tc>
          <w:tcPr>
            <w:tcW w:type="dxa" w:w="2664"/>
            <w:shd w:fill="EAF2F8"/>
            <w:vAlign w:val="center"/>
          </w:tcPr>
          <w:p>
            <w:pPr>
              <w:jc w:val="center"/>
            </w:pPr>
            <w:r/>
            <w:r>
              <w:rPr>
                <w:b/>
                <w:color w:val="1F4E79"/>
                <w:sz w:val="18"/>
              </w:rPr>
              <w:t>LightGBM</w:t>
            </w:r>
          </w:p>
        </w:tc>
        <w:tc>
          <w:tcPr>
            <w:tcW w:type="dxa" w:w="2664"/>
            <w:shd w:fill="EAF2F8"/>
            <w:vAlign w:val="center"/>
          </w:tcPr>
          <w:p>
            <w:pPr>
              <w:jc w:val="center"/>
            </w:pPr>
            <w:r/>
            <w:r>
              <w:rPr>
                <w:b/>
                <w:color w:val="1F4E79"/>
                <w:sz w:val="18"/>
              </w:rPr>
              <w:t>0.6192</w:t>
            </w:r>
          </w:p>
        </w:tc>
        <w:tc>
          <w:tcPr>
            <w:tcW w:type="dxa" w:w="2664"/>
            <w:shd w:fill="EAF2F8"/>
            <w:vAlign w:val="center"/>
          </w:tcPr>
          <w:p>
            <w:pPr>
              <w:jc w:val="center"/>
            </w:pPr>
            <w:r/>
            <w:r>
              <w:rPr>
                <w:b/>
                <w:color w:val="1F4E79"/>
                <w:sz w:val="18"/>
              </w:rPr>
              <w:t>0.9163</w:t>
            </w:r>
          </w:p>
        </w:tc>
        <w:tc>
          <w:tcPr>
            <w:tcW w:type="dxa" w:w="2664"/>
            <w:shd w:fill="EAF2F8"/>
            <w:vAlign w:val="center"/>
          </w:tcPr>
          <w:p>
            <w:pPr>
              <w:jc w:val="center"/>
            </w:pPr>
            <w:r/>
            <w:r>
              <w:rPr>
                <w:b/>
                <w:color w:val="1F4E79"/>
                <w:sz w:val="18"/>
              </w:rPr>
              <w:t>0.31</w:t>
            </w:r>
          </w:p>
        </w:tc>
      </w:tr>
    </w:tbl>
    <w:p>
      <w:pPr>
        <w:spacing w:before="100" w:after="20"/>
      </w:pPr>
      <w:r>
        <w:rPr>
          <w:b/>
          <w:color w:val="1F4E79"/>
          <w:sz w:val="22"/>
        </w:rPr>
        <w:t>Objective</w:t>
      </w:r>
    </w:p>
    <w:p>
      <w:pPr>
        <w:spacing w:after="40" w:line="240" w:lineRule="auto"/>
      </w:pPr>
      <w:r>
        <w:rPr>
          <w:color w:val="1F2937"/>
          <w:sz w:val="18"/>
        </w:rPr>
        <w:t>This project detects fraudulent credit card transactions and explains model predictions so that the output can be understood by a fraud analyst, not just by a machine learning model.</w:t>
      </w:r>
    </w:p>
    <w:p>
      <w:pPr>
        <w:spacing w:before="100" w:after="20"/>
      </w:pPr>
      <w:r>
        <w:rPr>
          <w:b/>
          <w:color w:val="1F4E79"/>
          <w:sz w:val="22"/>
        </w:rPr>
        <w:t>Workflow</w:t>
      </w:r>
    </w:p>
    <w:p>
      <w:pPr>
        <w:pStyle w:val="ListBullet"/>
        <w:spacing w:after="0" w:line="240" w:lineRule="auto"/>
      </w:pPr>
      <w:r>
        <w:rPr>
          <w:color w:val="1F2937"/>
          <w:sz w:val="17"/>
        </w:rPr>
        <w:t>Merged transaction and identity files using TransactionID.</w:t>
      </w:r>
    </w:p>
    <w:p>
      <w:pPr>
        <w:pStyle w:val="ListBullet"/>
        <w:spacing w:after="0" w:line="240" w:lineRule="auto"/>
      </w:pPr>
      <w:r>
        <w:rPr>
          <w:color w:val="1F2937"/>
          <w:sz w:val="17"/>
        </w:rPr>
        <w:t>Handled missing values, encoded categorical columns, and scaled numerical features.</w:t>
      </w:r>
    </w:p>
    <w:p>
      <w:pPr>
        <w:pStyle w:val="ListBullet"/>
        <w:spacing w:after="0" w:line="240" w:lineRule="auto"/>
      </w:pPr>
      <w:r>
        <w:rPr>
          <w:color w:val="1F2937"/>
          <w:sz w:val="17"/>
        </w:rPr>
        <w:t>Created amount, time, and device-based features such as AmtToMeanRatio, HourOfDay, and DeviceRisk.</w:t>
      </w:r>
    </w:p>
    <w:p>
      <w:pPr>
        <w:pStyle w:val="ListBullet"/>
        <w:spacing w:after="0" w:line="240" w:lineRule="auto"/>
      </w:pPr>
      <w:r>
        <w:rPr>
          <w:color w:val="1F2937"/>
          <w:sz w:val="17"/>
        </w:rPr>
        <w:t>Applied SMOTE only on the training data to handle class imbalance without test leakage.</w:t>
      </w:r>
    </w:p>
    <w:p>
      <w:pPr>
        <w:pStyle w:val="ListBullet"/>
        <w:spacing w:after="0" w:line="240" w:lineRule="auto"/>
      </w:pPr>
      <w:r>
        <w:rPr>
          <w:color w:val="1F2937"/>
          <w:sz w:val="17"/>
        </w:rPr>
        <w:t>Compared LightGBM, XGBoost, and Isolation Forest using PR-AUC, ROC-AUC, precision, recall, and F1-score.</w:t>
      </w:r>
    </w:p>
    <w:p>
      <w:pPr>
        <w:spacing w:before="100" w:after="20"/>
      </w:pPr>
      <w:r>
        <w:rPr>
          <w:b/>
          <w:color w:val="1F4E79"/>
          <w:sz w:val="22"/>
        </w:rPr>
        <w:t>Result</w:t>
      </w:r>
    </w:p>
    <w:p>
      <w:pPr>
        <w:spacing w:after="40" w:line="240" w:lineRule="auto"/>
      </w:pPr>
      <w:r>
        <w:rPr>
          <w:color w:val="1F2937"/>
          <w:sz w:val="18"/>
        </w:rPr>
        <w:t>LightGBM performed best overall with PR-AUC 0.6192 and ROC-AUC 0.9163. I used threshold tuning because fraud detection needs a balance between catching fraud and avoiding too many false alerts. PR-AUC was treated as more important than accuracy because the fraud class is rare.</w:t>
      </w:r>
    </w:p>
    <w:p>
      <w:pPr>
        <w:spacing w:before="100" w:after="20"/>
      </w:pPr>
      <w:r>
        <w:rPr>
          <w:b/>
          <w:color w:val="1F4E79"/>
          <w:sz w:val="22"/>
        </w:rPr>
        <w:t>Explainability and Dashboard</w:t>
      </w:r>
    </w:p>
    <w:p>
      <w:pPr>
        <w:spacing w:after="40" w:line="240" w:lineRule="auto"/>
      </w:pPr>
      <w:r>
        <w:rPr>
          <w:color w:val="1F2937"/>
          <w:sz w:val="18"/>
        </w:rPr>
        <w:t>SHAP was used to show which features increased or decreased fraud risk for individual transactions. The Streamlit dashboard includes an overview page, transaction explorer, risk score filtering, and a SHAP explainer by TransactionID.</w:t>
      </w:r>
    </w:p>
    <w:p>
      <w:pPr>
        <w:spacing w:before="100" w:after="20"/>
      </w:pPr>
      <w:r>
        <w:rPr>
          <w:b/>
          <w:color w:val="1F4E79"/>
          <w:sz w:val="22"/>
        </w:rPr>
        <w:t>Business Use</w:t>
      </w:r>
    </w:p>
    <w:p>
      <w:pPr>
        <w:pStyle w:val="ListBullet"/>
        <w:spacing w:after="0" w:line="240" w:lineRule="auto"/>
      </w:pPr>
      <w:r>
        <w:rPr>
          <w:color w:val="1F2937"/>
          <w:sz w:val="17"/>
        </w:rPr>
        <w:t>Critical Risk transactions can be sent for step-up verification or temporary hold.</w:t>
      </w:r>
    </w:p>
    <w:p>
      <w:pPr>
        <w:pStyle w:val="ListBullet"/>
        <w:spacing w:after="0" w:line="240" w:lineRule="auto"/>
      </w:pPr>
      <w:r>
        <w:rPr>
          <w:color w:val="1F2937"/>
          <w:sz w:val="17"/>
        </w:rPr>
        <w:t>Suspicious transactions can be reviewed by analysts when amount, device, or timing patterns look unusual.</w:t>
      </w:r>
    </w:p>
    <w:p>
      <w:pPr>
        <w:pStyle w:val="ListBullet"/>
        <w:spacing w:after="0" w:line="240" w:lineRule="auto"/>
      </w:pPr>
      <w:r>
        <w:rPr>
          <w:color w:val="1F2937"/>
          <w:sz w:val="17"/>
        </w:rPr>
        <w:t>The system can reduce manual review time by prioritizing the highest-risk transactions first.</w:t>
      </w:r>
    </w:p>
    <w:p>
      <w:pPr>
        <w:spacing w:before="100" w:after="20"/>
      </w:pPr>
      <w:r>
        <w:rPr>
          <w:b/>
          <w:color w:val="1F4E79"/>
          <w:sz w:val="22"/>
        </w:rPr>
        <w:t>Limitations and Next Steps</w:t>
      </w:r>
    </w:p>
    <w:p>
      <w:pPr>
        <w:spacing w:after="40" w:line="240" w:lineRule="auto"/>
      </w:pPr>
      <w:r>
        <w:rPr>
          <w:color w:val="1F2937"/>
          <w:sz w:val="18"/>
        </w:rPr>
        <w:t>The model depends on historical labels and may miss new fraud patterns. Some identity fields also contain many missing values. Future improvements would include customer history, merchant category, location mismatch, device fingerprint history, and transaction velocity features.</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Summary: Real-Time Fraud Detection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