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AB96" w14:textId="77777777" w:rsidR="006353B1" w:rsidRDefault="006353B1" w:rsidP="006353B1">
      <w:pPr>
        <w:pStyle w:val="Bibliography"/>
        <w:rPr>
          <w:rFonts w:ascii="Arial" w:hAnsi="Arial" w:cs="Arial"/>
        </w:rPr>
      </w:pPr>
    </w:p>
    <w:p w14:paraId="1BD94DB8" w14:textId="07B1FA9D" w:rsidR="006353B1" w:rsidRPr="00272DE5" w:rsidRDefault="006353B1" w:rsidP="006353B1">
      <w:pPr>
        <w:pStyle w:val="Compact"/>
        <w:jc w:val="center"/>
        <w:rPr>
          <w:rFonts w:ascii="Arial" w:hAnsi="Arial" w:cs="Arial"/>
        </w:rPr>
      </w:pPr>
    </w:p>
    <w:p w14:paraId="7A875678" w14:textId="77777777" w:rsidR="006353B1" w:rsidRDefault="006353B1" w:rsidP="006353B1">
      <w:pPr>
        <w:pStyle w:val="Bibliography"/>
        <w:rPr>
          <w:rFonts w:ascii="Arial" w:hAnsi="Arial" w:cs="Arial"/>
        </w:rPr>
      </w:pPr>
      <w:r w:rsidRPr="00272DE5">
        <w:rPr>
          <w:rFonts w:ascii="Arial" w:hAnsi="Arial" w:cs="Arial"/>
        </w:rPr>
        <w:t xml:space="preserve">Figure 1: </w:t>
      </w:r>
      <w:r w:rsidRPr="00272DE5">
        <w:rPr>
          <w:rFonts w:ascii="Arial" w:hAnsi="Arial" w:cs="Arial"/>
          <w:b/>
          <w:bCs/>
        </w:rPr>
        <w:t>Geographical distribution of the 17 study populations included in the meta-analysis testing the adaptive value of green nest material in birds.</w:t>
      </w:r>
      <w:r w:rsidRPr="00272DE5">
        <w:rPr>
          <w:rFonts w:ascii="Arial" w:hAnsi="Arial" w:cs="Arial"/>
        </w:rPr>
        <w:t xml:space="preserve"> Point size reflects the number of effect sizes calculated from each location (range: 3–34), and </w:t>
      </w:r>
      <w:proofErr w:type="spellStart"/>
      <w:r w:rsidRPr="00272DE5">
        <w:rPr>
          <w:rFonts w:ascii="Arial" w:hAnsi="Arial" w:cs="Arial"/>
        </w:rPr>
        <w:t>colour</w:t>
      </w:r>
      <w:proofErr w:type="spellEnd"/>
      <w:r w:rsidRPr="00272DE5">
        <w:rPr>
          <w:rFonts w:ascii="Arial" w:hAnsi="Arial" w:cs="Arial"/>
        </w:rPr>
        <w:t xml:space="preserve"> denotes species (see legend), with an inset zooming in on a dense cluster of data points.</w:t>
      </w:r>
    </w:p>
    <w:p w14:paraId="350D3680" w14:textId="77777777" w:rsidR="006353B1" w:rsidRDefault="006353B1" w:rsidP="006353B1">
      <w:pPr>
        <w:pStyle w:val="Bibliography"/>
        <w:rPr>
          <w:rFonts w:ascii="Arial" w:hAnsi="Arial" w:cs="Arial"/>
        </w:rPr>
      </w:pPr>
    </w:p>
    <w:p w14:paraId="56F09E8C" w14:textId="2A0CD08B" w:rsidR="006353B1" w:rsidRPr="00272DE5" w:rsidRDefault="006353B1" w:rsidP="006353B1">
      <w:pPr>
        <w:pStyle w:val="Compact"/>
        <w:jc w:val="center"/>
        <w:rPr>
          <w:rFonts w:ascii="Arial" w:hAnsi="Arial" w:cs="Arial"/>
        </w:rPr>
      </w:pPr>
    </w:p>
    <w:p w14:paraId="67FF36BA" w14:textId="3BC0B9B0" w:rsidR="006353B1" w:rsidRDefault="006353B1" w:rsidP="006353B1">
      <w:pPr>
        <w:pStyle w:val="Bibliography"/>
        <w:rPr>
          <w:rFonts w:ascii="Arial" w:hAnsi="Arial" w:cs="Arial"/>
        </w:rPr>
      </w:pPr>
      <w:r w:rsidRPr="00272DE5">
        <w:rPr>
          <w:rFonts w:ascii="Arial" w:hAnsi="Arial" w:cs="Arial"/>
        </w:rPr>
        <w:t>Figure 2: Overall effect of green nest material on all fitness proxies combined. The meta-analytic mean (black</w:t>
      </w:r>
      <w:r w:rsidR="00965601">
        <w:rPr>
          <w:rFonts w:ascii="Arial" w:hAnsi="Arial" w:cs="Arial"/>
        </w:rPr>
        <w:t>-border</w:t>
      </w:r>
      <w:r w:rsidRPr="00272DE5">
        <w:rPr>
          <w:rFonts w:ascii="Arial" w:hAnsi="Arial" w:cs="Arial"/>
        </w:rPr>
        <w:t xml:space="preserve"> circle), 95% confidence intervals (thicker bars) and prediction intervals (thinner bars) are shown along with the data points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Results are shown as an orchard plot for the intercept-only model (A) using log response ratio (</w:t>
      </w:r>
      <w:proofErr w:type="spellStart"/>
      <w:r w:rsidRPr="00272DE5">
        <w:rPr>
          <w:rFonts w:ascii="Arial" w:hAnsi="Arial" w:cs="Arial"/>
        </w:rPr>
        <w:t>lnRR</w:t>
      </w:r>
      <w:proofErr w:type="spellEnd"/>
      <w:r w:rsidRPr="00272DE5">
        <w:rPr>
          <w:rFonts w:ascii="Arial" w:hAnsi="Arial" w:cs="Arial"/>
        </w:rPr>
        <w:t xml:space="preserve">), and (B) </w:t>
      </w:r>
      <w:proofErr w:type="spellStart"/>
      <w:r w:rsidRPr="00272DE5">
        <w:rPr>
          <w:rFonts w:ascii="Arial" w:hAnsi="Arial" w:cs="Arial"/>
        </w:rPr>
        <w:t>standardised</w:t>
      </w:r>
      <w:proofErr w:type="spellEnd"/>
      <w:r w:rsidRPr="00272DE5">
        <w:rPr>
          <w:rFonts w:ascii="Arial" w:hAnsi="Arial" w:cs="Arial"/>
        </w:rPr>
        <w:t xml:space="preserve"> mean difference (SMD(H)). k: number of effect sizes (number of studies is shown in brackets). X-axes are truncated for legibility, which partially explains the apparent asymmetry (see </w:t>
      </w:r>
      <w:hyperlink w:anchor="figsupp-overall">
        <w:r w:rsidRPr="00272DE5">
          <w:rPr>
            <w:rStyle w:val="Hyperlink"/>
            <w:rFonts w:ascii="Arial" w:hAnsi="Arial" w:cs="Arial"/>
          </w:rPr>
          <w:t>Figure S10</w:t>
        </w:r>
      </w:hyperlink>
      <w:r w:rsidRPr="00272DE5">
        <w:rPr>
          <w:rFonts w:ascii="Arial" w:hAnsi="Arial" w:cs="Arial"/>
        </w:rPr>
        <w:t>).</w:t>
      </w:r>
    </w:p>
    <w:p w14:paraId="44E35D8E" w14:textId="77777777" w:rsidR="006353B1" w:rsidRDefault="006353B1" w:rsidP="006353B1">
      <w:pPr>
        <w:pStyle w:val="Bibliography"/>
        <w:rPr>
          <w:rFonts w:ascii="Arial" w:hAnsi="Arial" w:cs="Arial"/>
        </w:rPr>
      </w:pPr>
    </w:p>
    <w:p w14:paraId="6188DE36" w14:textId="77777777" w:rsidR="006353B1" w:rsidRDefault="006353B1" w:rsidP="006353B1">
      <w:pPr>
        <w:pStyle w:val="Bibliography"/>
        <w:rPr>
          <w:rFonts w:ascii="Arial" w:hAnsi="Arial" w:cs="Arial"/>
        </w:rPr>
      </w:pPr>
    </w:p>
    <w:p w14:paraId="5AC19E59" w14:textId="03D3F1BD" w:rsidR="006353B1" w:rsidRPr="00272DE5" w:rsidRDefault="006353B1" w:rsidP="006353B1">
      <w:pPr>
        <w:pStyle w:val="Compact"/>
        <w:jc w:val="center"/>
        <w:rPr>
          <w:rFonts w:ascii="Arial" w:hAnsi="Arial" w:cs="Arial"/>
        </w:rPr>
      </w:pPr>
    </w:p>
    <w:p w14:paraId="50E4A947" w14:textId="6405C02A" w:rsidR="006353B1" w:rsidRDefault="006353B1" w:rsidP="006353B1">
      <w:pPr>
        <w:pStyle w:val="Bibliography"/>
        <w:rPr>
          <w:rFonts w:ascii="Arial" w:hAnsi="Arial" w:cs="Arial"/>
        </w:rPr>
      </w:pPr>
      <w:r w:rsidRPr="00272DE5">
        <w:rPr>
          <w:rFonts w:ascii="Arial" w:hAnsi="Arial" w:cs="Arial"/>
        </w:rPr>
        <w:t>Figure 3: There is no clear evidence for the courtship or the parental care hypothesis separately as drivers of green nest material fitness effects. Orchard plot of the multilevel meta-regression for (A) log response ratio (</w:t>
      </w:r>
      <w:proofErr w:type="spellStart"/>
      <w:r w:rsidRPr="00272DE5">
        <w:rPr>
          <w:rFonts w:ascii="Arial" w:hAnsi="Arial" w:cs="Arial"/>
        </w:rPr>
        <w:t>lnRR</w:t>
      </w:r>
      <w:proofErr w:type="spellEnd"/>
      <w:r w:rsidRPr="00272DE5">
        <w:rPr>
          <w:rFonts w:ascii="Arial" w:hAnsi="Arial" w:cs="Arial"/>
        </w:rPr>
        <w:t xml:space="preserve">) and (B) </w:t>
      </w:r>
      <w:proofErr w:type="spellStart"/>
      <w:r w:rsidRPr="00272DE5">
        <w:rPr>
          <w:rFonts w:ascii="Arial" w:hAnsi="Arial" w:cs="Arial"/>
        </w:rPr>
        <w:t>standardised</w:t>
      </w:r>
      <w:proofErr w:type="spellEnd"/>
      <w:r w:rsidRPr="00272DE5">
        <w:rPr>
          <w:rFonts w:ascii="Arial" w:hAnsi="Arial" w:cs="Arial"/>
        </w:rPr>
        <w:t xml:space="preserve"> mean difference (SMD(H)). Mean estimates (black</w:t>
      </w:r>
      <w:r w:rsidR="00965601">
        <w:rPr>
          <w:rFonts w:ascii="Arial" w:hAnsi="Arial" w:cs="Arial"/>
        </w:rPr>
        <w:t>-border</w:t>
      </w:r>
      <w:r w:rsidRPr="00272DE5">
        <w:rPr>
          <w:rFonts w:ascii="Arial" w:hAnsi="Arial" w:cs="Arial"/>
        </w:rPr>
        <w:t xml:space="preserve"> circles), 95% confidence intervals (thicker bars), and prediction intervals (thinner bars) are shown along with the individual data points (transparently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hyperlink w:anchor="figsupp-hypothesis">
        <w:r w:rsidRPr="00272DE5">
          <w:rPr>
            <w:rStyle w:val="Hyperlink"/>
            <w:rFonts w:ascii="Arial" w:hAnsi="Arial" w:cs="Arial"/>
          </w:rPr>
          <w:t>Figure S11</w:t>
        </w:r>
      </w:hyperlink>
      <w:r w:rsidRPr="00272DE5">
        <w:rPr>
          <w:rFonts w:ascii="Arial" w:hAnsi="Arial" w:cs="Arial"/>
        </w:rPr>
        <w:t>).</w:t>
      </w:r>
    </w:p>
    <w:p w14:paraId="6F3EE6AD" w14:textId="77777777" w:rsidR="006353B1" w:rsidRDefault="006353B1" w:rsidP="006353B1">
      <w:pPr>
        <w:pStyle w:val="Bibliography"/>
        <w:rPr>
          <w:rFonts w:ascii="Arial" w:hAnsi="Arial" w:cs="Arial"/>
        </w:rPr>
      </w:pPr>
    </w:p>
    <w:p w14:paraId="5B246B8A" w14:textId="77777777" w:rsidR="006353B1" w:rsidRDefault="006353B1" w:rsidP="006353B1">
      <w:pPr>
        <w:pStyle w:val="Bibliography"/>
        <w:rPr>
          <w:rFonts w:ascii="Arial" w:hAnsi="Arial" w:cs="Arial"/>
        </w:rPr>
      </w:pPr>
    </w:p>
    <w:p w14:paraId="1F3E6E2B" w14:textId="098735DB" w:rsidR="006353B1" w:rsidRPr="00272DE5" w:rsidRDefault="006353B1" w:rsidP="006353B1">
      <w:pPr>
        <w:pStyle w:val="Compact"/>
        <w:jc w:val="center"/>
        <w:rPr>
          <w:rFonts w:ascii="Arial" w:hAnsi="Arial" w:cs="Arial"/>
        </w:rPr>
      </w:pPr>
    </w:p>
    <w:p w14:paraId="391523B7" w14:textId="28C9920E" w:rsidR="006353B1" w:rsidRDefault="006353B1" w:rsidP="006353B1">
      <w:pPr>
        <w:pStyle w:val="Bibliography"/>
        <w:rPr>
          <w:rFonts w:ascii="Arial" w:hAnsi="Arial" w:cs="Arial"/>
        </w:rPr>
      </w:pPr>
      <w:r w:rsidRPr="00272DE5">
        <w:rPr>
          <w:rFonts w:ascii="Arial" w:hAnsi="Arial" w:cs="Arial"/>
        </w:rPr>
        <w:t>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w:t>
      </w:r>
      <w:proofErr w:type="spellStart"/>
      <w:r w:rsidRPr="00272DE5">
        <w:rPr>
          <w:rFonts w:ascii="Arial" w:hAnsi="Arial" w:cs="Arial"/>
        </w:rPr>
        <w:t>lnRR</w:t>
      </w:r>
      <w:proofErr w:type="spellEnd"/>
      <w:r w:rsidRPr="00272DE5">
        <w:rPr>
          <w:rFonts w:ascii="Arial" w:hAnsi="Arial" w:cs="Arial"/>
        </w:rPr>
        <w:t xml:space="preserve">); B: </w:t>
      </w:r>
      <w:proofErr w:type="spellStart"/>
      <w:r w:rsidRPr="00272DE5">
        <w:rPr>
          <w:rFonts w:ascii="Arial" w:hAnsi="Arial" w:cs="Arial"/>
        </w:rPr>
        <w:t>standardised</w:t>
      </w:r>
      <w:proofErr w:type="spellEnd"/>
      <w:r w:rsidRPr="00272DE5">
        <w:rPr>
          <w:rFonts w:ascii="Arial" w:hAnsi="Arial" w:cs="Arial"/>
        </w:rPr>
        <w:t xml:space="preserve"> mean difference (SMD(H)), and time of green nest material addition (C: </w:t>
      </w:r>
      <w:proofErr w:type="spellStart"/>
      <w:r w:rsidRPr="00272DE5">
        <w:rPr>
          <w:rFonts w:ascii="Arial" w:hAnsi="Arial" w:cs="Arial"/>
        </w:rPr>
        <w:t>lnRR</w:t>
      </w:r>
      <w:proofErr w:type="spellEnd"/>
      <w:r w:rsidRPr="00272DE5">
        <w:rPr>
          <w:rFonts w:ascii="Arial" w:hAnsi="Arial" w:cs="Arial"/>
        </w:rPr>
        <w:t>; D: SMD(H)). Mean estimates (black</w:t>
      </w:r>
      <w:r w:rsidR="00965601">
        <w:rPr>
          <w:rFonts w:ascii="Arial" w:hAnsi="Arial" w:cs="Arial"/>
        </w:rPr>
        <w:t>-border</w:t>
      </w:r>
      <w:r w:rsidRPr="00272DE5">
        <w:rPr>
          <w:rFonts w:ascii="Arial" w:hAnsi="Arial" w:cs="Arial"/>
        </w:rPr>
        <w:t xml:space="preserve"> circles), 95% confidence intervals (thicker bars) and prediction intervals (thinner bars) are shown along the </w:t>
      </w:r>
      <w:r w:rsidRPr="00272DE5">
        <w:rPr>
          <w:rFonts w:ascii="Arial" w:hAnsi="Arial" w:cs="Arial"/>
        </w:rPr>
        <w:lastRenderedPageBreak/>
        <w:t xml:space="preserve">individual data points (transparently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hyperlink w:anchor="figsupp-design-time">
        <w:r w:rsidRPr="00272DE5">
          <w:rPr>
            <w:rStyle w:val="Hyperlink"/>
            <w:rFonts w:ascii="Arial" w:hAnsi="Arial" w:cs="Arial"/>
          </w:rPr>
          <w:t>Figure S12</w:t>
        </w:r>
      </w:hyperlink>
      <w:r w:rsidRPr="00272DE5">
        <w:rPr>
          <w:rFonts w:ascii="Arial" w:hAnsi="Arial" w:cs="Arial"/>
        </w:rPr>
        <w:t>).</w:t>
      </w:r>
    </w:p>
    <w:p w14:paraId="7B07F0E1" w14:textId="74CB60D6" w:rsidR="006353B1" w:rsidRPr="00272DE5" w:rsidRDefault="006353B1" w:rsidP="006353B1">
      <w:pPr>
        <w:pStyle w:val="Compact"/>
        <w:jc w:val="center"/>
        <w:rPr>
          <w:rFonts w:ascii="Arial" w:hAnsi="Arial" w:cs="Arial"/>
        </w:rPr>
      </w:pPr>
    </w:p>
    <w:p w14:paraId="7AB0D9ED" w14:textId="77777777" w:rsidR="006353B1" w:rsidRPr="00272DE5" w:rsidRDefault="006353B1" w:rsidP="006353B1">
      <w:pPr>
        <w:pStyle w:val="Bibliography"/>
        <w:rPr>
          <w:rFonts w:ascii="Arial" w:hAnsi="Arial" w:cs="Arial"/>
        </w:rPr>
      </w:pPr>
      <w:r w:rsidRPr="00272DE5">
        <w:rPr>
          <w:rFonts w:ascii="Arial" w:hAnsi="Arial" w:cs="Arial"/>
        </w:rPr>
        <w:t>Table 1: Results from multilevel meta-regressions testing how several factors moderate the effect of green nest material on fitness estimates across birds. Columns show model estimates, p-values (P-</w:t>
      </w:r>
      <w:proofErr w:type="spellStart"/>
      <w:r w:rsidRPr="00272DE5">
        <w:rPr>
          <w:rFonts w:ascii="Arial" w:hAnsi="Arial" w:cs="Arial"/>
        </w:rPr>
        <w:t>val</w:t>
      </w:r>
      <w:proofErr w:type="spellEnd"/>
      <w:r w:rsidRPr="00272DE5">
        <w:rPr>
          <w:rFonts w:ascii="Arial" w:hAnsi="Arial" w:cs="Arial"/>
        </w:rPr>
        <w:t>), 95% confidence intervals (CI), 95% prediction intervals (PI), number of effect sizes (k), and number of studies (n) for both effect size metrics: log response ratio (</w:t>
      </w:r>
      <w:proofErr w:type="spellStart"/>
      <w:r w:rsidRPr="00272DE5">
        <w:rPr>
          <w:rFonts w:ascii="Arial" w:hAnsi="Arial" w:cs="Arial"/>
        </w:rPr>
        <w:t>lnRR</w:t>
      </w:r>
      <w:proofErr w:type="spellEnd"/>
      <w:r w:rsidRPr="00272DE5">
        <w:rPr>
          <w:rFonts w:ascii="Arial" w:hAnsi="Arial" w:cs="Arial"/>
        </w:rPr>
        <w:t>) and standardized mean difference (SMD(H)). Statistically significant results (p-values &lt; 0.05) are shown in bold.</w:t>
      </w:r>
    </w:p>
    <w:p w14:paraId="0D3D5292" w14:textId="77777777" w:rsidR="00781C27" w:rsidRDefault="00781C27"/>
    <w:p w14:paraId="39CCF79A" w14:textId="77777777" w:rsidR="008A3BD6" w:rsidRDefault="008A3BD6"/>
    <w:p w14:paraId="4E3BFCC8" w14:textId="77777777" w:rsidR="008A3BD6" w:rsidRDefault="008A3BD6"/>
    <w:p w14:paraId="5CDE612E" w14:textId="127617CD" w:rsidR="008A3BD6" w:rsidRDefault="008A3BD6">
      <w:r w:rsidRPr="008A3BD6">
        <w:t>Supplementary Appendix containing the PRISMA-</w:t>
      </w:r>
      <w:proofErr w:type="spellStart"/>
      <w:r w:rsidRPr="008A3BD6">
        <w:t>EcoEvo</w:t>
      </w:r>
      <w:proofErr w:type="spellEnd"/>
      <w:r w:rsidRPr="008A3BD6">
        <w:t xml:space="preserve"> checklist</w:t>
      </w:r>
      <w:r>
        <w:t xml:space="preserve"> (Table S1)</w:t>
      </w:r>
      <w:r w:rsidRPr="008A3BD6">
        <w:t>, PRISMA flowchart</w:t>
      </w:r>
      <w:r>
        <w:t xml:space="preserve"> (Figure S1)</w:t>
      </w:r>
      <w:r w:rsidRPr="008A3BD6">
        <w:t xml:space="preserve">, </w:t>
      </w:r>
      <w:r w:rsidR="00701F0B">
        <w:t>i</w:t>
      </w:r>
      <w:r>
        <w:t xml:space="preserve">nitial library used for </w:t>
      </w:r>
      <w:r w:rsidRPr="008A3BD6">
        <w:t>search validation</w:t>
      </w:r>
      <w:r>
        <w:t xml:space="preserve"> </w:t>
      </w:r>
      <w:r>
        <w:t>(Figure S2)</w:t>
      </w:r>
      <w:r w:rsidRPr="008A3BD6">
        <w:t xml:space="preserve">, </w:t>
      </w:r>
      <w:r w:rsidR="00701F0B">
        <w:t>s</w:t>
      </w:r>
      <w:r w:rsidRPr="008A3BD6">
        <w:t>creening criteri</w:t>
      </w:r>
      <w:r>
        <w:t>a/ decision tree (Figure S3)</w:t>
      </w:r>
      <w:r w:rsidRPr="008A3BD6">
        <w:t xml:space="preserve">, </w:t>
      </w:r>
      <w:r w:rsidR="00701F0B">
        <w:t>d</w:t>
      </w:r>
      <w:r>
        <w:t xml:space="preserve">etails of fitness proxies included and excluded from the meta-analysis (Table S2), </w:t>
      </w:r>
      <w:r w:rsidR="00701F0B">
        <w:t>s</w:t>
      </w:r>
      <w:r>
        <w:t xml:space="preserve">tudies included in the meta-analysis (Figure S4), </w:t>
      </w:r>
      <w:r w:rsidR="00701F0B">
        <w:t>s</w:t>
      </w:r>
      <w:r>
        <w:t xml:space="preserve">tandardised e-mail template used to contact authors (Figure S5), </w:t>
      </w:r>
      <w:r w:rsidR="00701F0B">
        <w:t>d</w:t>
      </w:r>
      <w:r>
        <w:t xml:space="preserve">etails of the </w:t>
      </w:r>
      <w:r w:rsidR="00701F0B">
        <w:t>u</w:t>
      </w:r>
      <w:r>
        <w:t xml:space="preserve">npublished </w:t>
      </w:r>
      <w:r w:rsidR="00701F0B">
        <w:t>s</w:t>
      </w:r>
      <w:r>
        <w:t xml:space="preserve">tudies (Figure S6), </w:t>
      </w:r>
      <w:r w:rsidR="00701F0B">
        <w:t>c</w:t>
      </w:r>
      <w:r>
        <w:t xml:space="preserve">omplete list of </w:t>
      </w:r>
      <w:r w:rsidRPr="008A3BD6">
        <w:t>extracted variables</w:t>
      </w:r>
      <w:r>
        <w:t xml:space="preserve"> (Figure S7)</w:t>
      </w:r>
      <w:r w:rsidRPr="008A3BD6">
        <w:t xml:space="preserve">, </w:t>
      </w:r>
      <w:r w:rsidR="00701F0B">
        <w:t>a</w:t>
      </w:r>
      <w:r>
        <w:t xml:space="preserve">lluvial </w:t>
      </w:r>
      <w:r w:rsidR="00701F0B">
        <w:t>p</w:t>
      </w:r>
      <w:r>
        <w:t xml:space="preserve">lot of </w:t>
      </w:r>
      <w:r w:rsidR="00701F0B">
        <w:t>r</w:t>
      </w:r>
      <w:r>
        <w:t xml:space="preserve">andom </w:t>
      </w:r>
      <w:r w:rsidR="00701F0B">
        <w:t>e</w:t>
      </w:r>
      <w:r>
        <w:t xml:space="preserve">ffects (Figure S8), </w:t>
      </w:r>
      <w:r w:rsidR="00701F0B">
        <w:t>s</w:t>
      </w:r>
      <w:r>
        <w:t>ensitivity</w:t>
      </w:r>
      <w:r w:rsidRPr="008A3BD6">
        <w:t xml:space="preserve"> analyses</w:t>
      </w:r>
      <w:r>
        <w:t xml:space="preserve"> (Table S3)</w:t>
      </w:r>
      <w:r w:rsidRPr="008A3BD6">
        <w:t xml:space="preserve">, </w:t>
      </w:r>
      <w:r w:rsidR="00701F0B">
        <w:t>a</w:t>
      </w:r>
      <w:r>
        <w:t xml:space="preserve">ll plots without cropped axis (Figure S10-S13), </w:t>
      </w:r>
      <w:r w:rsidR="00701F0B">
        <w:t>r</w:t>
      </w:r>
      <w:r>
        <w:t xml:space="preserve">isk </w:t>
      </w:r>
      <w:r w:rsidRPr="008A3BD6">
        <w:t>of</w:t>
      </w:r>
      <w:r>
        <w:t xml:space="preserve"> </w:t>
      </w:r>
      <w:r w:rsidRPr="008A3BD6">
        <w:t>bias tests</w:t>
      </w:r>
      <w:r>
        <w:t xml:space="preserve"> (Table S4)</w:t>
      </w:r>
      <w:r w:rsidRPr="008A3BD6">
        <w:t>, publication-bias tests</w:t>
      </w:r>
      <w:r>
        <w:t xml:space="preserve"> (Figure S14)</w:t>
      </w:r>
      <w:r w:rsidRPr="008A3BD6">
        <w:t>, and full systematic-search information</w:t>
      </w:r>
      <w:r>
        <w:t xml:space="preserve"> (Figure S15)</w:t>
      </w:r>
      <w:r w:rsidRPr="008A3BD6">
        <w:t>.</w:t>
      </w:r>
    </w:p>
    <w:p w14:paraId="7B6A1593" w14:textId="77777777" w:rsidR="00666CC7" w:rsidRDefault="00666CC7"/>
    <w:p w14:paraId="737661A1" w14:textId="77777777" w:rsidR="00666CC7" w:rsidRDefault="00666CC7"/>
    <w:p w14:paraId="5EC04B93" w14:textId="0392608F" w:rsidR="00666CC7" w:rsidRDefault="00666CC7" w:rsidP="00666CC7">
      <w:pPr>
        <w:pStyle w:val="NormalWeb"/>
      </w:pPr>
      <w:r>
        <w:t>Lay Summary:</w:t>
      </w:r>
      <w:r>
        <w:br/>
      </w:r>
      <w:r>
        <w:br/>
      </w:r>
      <w:r w:rsidR="009A6498">
        <w:t>Birds in some species add fresh green plants</w:t>
      </w:r>
      <w:r w:rsidR="009A6498">
        <w:t xml:space="preserve"> and herbs</w:t>
      </w:r>
      <w:r w:rsidR="009A6498">
        <w:t>, but why they do so remains debated.</w:t>
      </w:r>
      <w:r w:rsidR="009A6498">
        <w:t xml:space="preserve"> </w:t>
      </w:r>
      <w:r w:rsidR="00512D98">
        <w:t>In our meta-analysis of 28 experiments across seven bird species and 274 effect sizes, we found that green nest material can improve fitness outcomes, especially measures of nestling growth and size. However, we found no compelling evidence favouring any proposed mechanism, including courtship signalling, parasite defence, or drug-like effects. Overall, our findings suggest that green nest material can be beneficial, but challenge the assumption that aromatic compounds are the main driver.</w:t>
      </w:r>
      <w:r w:rsidR="009A6498">
        <w:rPr>
          <w:rFonts w:ascii="Segoe UI" w:hAnsi="Segoe UI" w:cs="Segoe UI"/>
          <w:color w:val="1F2937"/>
          <w:sz w:val="23"/>
          <w:szCs w:val="23"/>
          <w:shd w:val="clear" w:color="auto" w:fill="FFFFFF"/>
        </w:rPr>
        <w:t xml:space="preserve"> </w:t>
      </w:r>
    </w:p>
    <w:sectPr w:rsidR="00666CC7" w:rsidSect="006353B1">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B1"/>
    <w:rsid w:val="00073D9E"/>
    <w:rsid w:val="001B70E7"/>
    <w:rsid w:val="00512D98"/>
    <w:rsid w:val="00513BC6"/>
    <w:rsid w:val="006353B1"/>
    <w:rsid w:val="00666CC7"/>
    <w:rsid w:val="006B1B00"/>
    <w:rsid w:val="00701F0B"/>
    <w:rsid w:val="00781C27"/>
    <w:rsid w:val="008A3BD6"/>
    <w:rsid w:val="00955436"/>
    <w:rsid w:val="00965601"/>
    <w:rsid w:val="009A6498"/>
    <w:rsid w:val="00E72F4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33A549F"/>
  <w15:chartTrackingRefBased/>
  <w15:docId w15:val="{23BA0BDC-1EA4-EB4B-A901-0371DB19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3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3B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353B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353B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353B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353B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353B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353B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353B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353B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3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3B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35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3B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353B1"/>
    <w:pPr>
      <w:spacing w:before="160"/>
      <w:jc w:val="center"/>
    </w:pPr>
    <w:rPr>
      <w:i/>
      <w:iCs/>
      <w:color w:val="404040" w:themeColor="text1" w:themeTint="BF"/>
    </w:rPr>
  </w:style>
  <w:style w:type="character" w:customStyle="1" w:styleId="QuoteChar">
    <w:name w:val="Quote Char"/>
    <w:basedOn w:val="DefaultParagraphFont"/>
    <w:link w:val="Quote"/>
    <w:uiPriority w:val="29"/>
    <w:rsid w:val="006353B1"/>
    <w:rPr>
      <w:i/>
      <w:iCs/>
      <w:color w:val="404040" w:themeColor="text1" w:themeTint="BF"/>
      <w:lang w:val="en-GB"/>
    </w:rPr>
  </w:style>
  <w:style w:type="paragraph" w:styleId="ListParagraph">
    <w:name w:val="List Paragraph"/>
    <w:basedOn w:val="Normal"/>
    <w:uiPriority w:val="34"/>
    <w:qFormat/>
    <w:rsid w:val="006353B1"/>
    <w:pPr>
      <w:ind w:left="720"/>
      <w:contextualSpacing/>
    </w:pPr>
  </w:style>
  <w:style w:type="character" w:styleId="IntenseEmphasis">
    <w:name w:val="Intense Emphasis"/>
    <w:basedOn w:val="DefaultParagraphFont"/>
    <w:uiPriority w:val="21"/>
    <w:qFormat/>
    <w:rsid w:val="006353B1"/>
    <w:rPr>
      <w:i/>
      <w:iCs/>
      <w:color w:val="0F4761" w:themeColor="accent1" w:themeShade="BF"/>
    </w:rPr>
  </w:style>
  <w:style w:type="paragraph" w:styleId="IntenseQuote">
    <w:name w:val="Intense Quote"/>
    <w:basedOn w:val="Normal"/>
    <w:next w:val="Normal"/>
    <w:link w:val="IntenseQuoteChar"/>
    <w:uiPriority w:val="30"/>
    <w:qFormat/>
    <w:rsid w:val="0063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3B1"/>
    <w:rPr>
      <w:i/>
      <w:iCs/>
      <w:color w:val="0F4761" w:themeColor="accent1" w:themeShade="BF"/>
      <w:lang w:val="en-GB"/>
    </w:rPr>
  </w:style>
  <w:style w:type="character" w:styleId="IntenseReference">
    <w:name w:val="Intense Reference"/>
    <w:basedOn w:val="DefaultParagraphFont"/>
    <w:uiPriority w:val="32"/>
    <w:qFormat/>
    <w:rsid w:val="006353B1"/>
    <w:rPr>
      <w:b/>
      <w:bCs/>
      <w:smallCaps/>
      <w:color w:val="0F4761" w:themeColor="accent1" w:themeShade="BF"/>
      <w:spacing w:val="5"/>
    </w:rPr>
  </w:style>
  <w:style w:type="paragraph" w:customStyle="1" w:styleId="Compact">
    <w:name w:val="Compact"/>
    <w:basedOn w:val="BodyText"/>
    <w:qFormat/>
    <w:rsid w:val="006353B1"/>
    <w:pPr>
      <w:spacing w:before="36" w:after="36" w:line="240" w:lineRule="auto"/>
    </w:pPr>
    <w:rPr>
      <w:kern w:val="0"/>
      <w:lang w:val="en-US"/>
      <w14:ligatures w14:val="none"/>
    </w:rPr>
  </w:style>
  <w:style w:type="paragraph" w:styleId="Bibliography">
    <w:name w:val="Bibliography"/>
    <w:basedOn w:val="Normal"/>
    <w:qFormat/>
    <w:rsid w:val="006353B1"/>
    <w:pPr>
      <w:spacing w:after="200" w:line="240" w:lineRule="auto"/>
    </w:pPr>
    <w:rPr>
      <w:kern w:val="0"/>
      <w:lang w:val="en-US"/>
      <w14:ligatures w14:val="none"/>
    </w:rPr>
  </w:style>
  <w:style w:type="character" w:styleId="Hyperlink">
    <w:name w:val="Hyperlink"/>
    <w:basedOn w:val="DefaultParagraphFont"/>
    <w:rsid w:val="006353B1"/>
    <w:rPr>
      <w:color w:val="156082" w:themeColor="accent1"/>
    </w:rPr>
  </w:style>
  <w:style w:type="paragraph" w:styleId="BodyText">
    <w:name w:val="Body Text"/>
    <w:basedOn w:val="Normal"/>
    <w:link w:val="BodyTextChar"/>
    <w:uiPriority w:val="99"/>
    <w:semiHidden/>
    <w:unhideWhenUsed/>
    <w:rsid w:val="006353B1"/>
    <w:pPr>
      <w:spacing w:after="120"/>
    </w:pPr>
  </w:style>
  <w:style w:type="character" w:customStyle="1" w:styleId="BodyTextChar">
    <w:name w:val="Body Text Char"/>
    <w:basedOn w:val="DefaultParagraphFont"/>
    <w:link w:val="BodyText"/>
    <w:uiPriority w:val="99"/>
    <w:semiHidden/>
    <w:rsid w:val="006353B1"/>
    <w:rPr>
      <w:lang w:val="en-GB"/>
    </w:rPr>
  </w:style>
  <w:style w:type="character" w:styleId="LineNumber">
    <w:name w:val="line number"/>
    <w:basedOn w:val="DefaultParagraphFont"/>
    <w:uiPriority w:val="99"/>
    <w:semiHidden/>
    <w:unhideWhenUsed/>
    <w:rsid w:val="006353B1"/>
  </w:style>
  <w:style w:type="paragraph" w:styleId="NormalWeb">
    <w:name w:val="Normal (Web)"/>
    <w:basedOn w:val="Normal"/>
    <w:uiPriority w:val="99"/>
    <w:unhideWhenUsed/>
    <w:rsid w:val="00666CC7"/>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667</Words>
  <Characters>3939</Characters>
  <Application>Microsoft Office Word</Application>
  <DocSecurity>0</DocSecurity>
  <Lines>59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Dimri</dc:creator>
  <cp:keywords/>
  <dc:description/>
  <cp:lastModifiedBy>Authors</cp:lastModifiedBy>
  <cp:revision>1</cp:revision>
  <dcterms:created xsi:type="dcterms:W3CDTF">2026-05-20T12:55:00Z</dcterms:created>
  <dcterms:modified xsi:type="dcterms:W3CDTF">2026-05-20T18:11:00Z</dcterms:modified>
</cp:coreProperties>
</file>