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48"/>
          <w:szCs w:val="48"/>
        </w:rPr>
        <w:t xml:space="preserve">MCP Security Auditor</w:t>
      </w:r>
    </w:p>
    <w:p>
      <w:pPr>
        <w:spacing w:after="240"/>
        <w:jc w:val="center"/>
      </w:pPr>
      <w:r>
        <w:rPr>
          <w:rFonts w:ascii="Times New Roman" w:cs="Times New Roman" w:eastAsia="Times New Roman" w:hAnsi="Times New Roman"/>
          <w:b/>
          <w:bCs/>
          <w:sz w:val="32"/>
          <w:szCs w:val="32"/>
        </w:rPr>
        <w:t xml:space="preserve">A RAG-Grounded Local-LLM Approach to Detecting Tool Poisoning and Privilege Escalation in Model Context Protocol Servers</w:t>
      </w:r>
    </w:p>
    <w:p>
      <w:pPr>
        <w:spacing w:after="40" w:before="160"/>
        <w:jc w:val="center"/>
      </w:pPr>
      <w:r>
        <w:rPr>
          <w:rFonts w:ascii="Times New Roman" w:cs="Times New Roman" w:eastAsia="Times New Roman" w:hAnsi="Times New Roman"/>
          <w:sz w:val="22"/>
          <w:szCs w:val="22"/>
        </w:rPr>
        <w:t xml:space="preserve">Shreya G</w:t>
      </w:r>
    </w:p>
    <w:p>
      <w:pPr>
        <w:spacing w:after="20"/>
        <w:jc w:val="center"/>
      </w:pPr>
      <w:r>
        <w:rPr>
          <w:rFonts w:ascii="Times New Roman" w:cs="Times New Roman" w:eastAsia="Times New Roman" w:hAnsi="Times New Roman"/>
          <w:i/>
          <w:iCs/>
          <w:sz w:val="20"/>
          <w:szCs w:val="20"/>
        </w:rPr>
        <w:t xml:space="preserve">Department of Artificial Intelligence and Machine Learning</w:t>
      </w:r>
    </w:p>
    <w:p>
      <w:pPr>
        <w:spacing w:after="260"/>
        <w:jc w:val="center"/>
      </w:pPr>
      <w:r>
        <w:rPr>
          <w:rFonts w:ascii="Times New Roman" w:cs="Times New Roman" w:eastAsia="Times New Roman" w:hAnsi="Times New Roman"/>
          <w:i/>
          <w:iCs/>
          <w:sz w:val="20"/>
          <w:szCs w:val="20"/>
        </w:rPr>
        <w:t xml:space="preserve">Christ (Deemed to Be) University, Bengaluru, India</w:t>
      </w: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Model Context Protocol (MCP) servers extend an LLM-based assistant with externally supplied tools, and the natural-language tool description is itself part of the trusted context the model reasons over. This creates an attack surface existing static scanners cannot fully cover: pattern-matching tool descriptions against known-bad keywords is trivially evaded by paraphrasing. This project implements and empirically validates an alternative: a local, privacy-preserving auditor that retrieves semantically similar known attack patterns from a curated knowledge base (RAG) and asks a local LLM (Ollama, llama3.1:8b) for a grounded verdict on each tool a target MCP server declares. Across a purpose-built, six-server test bed covering three OWASP MCP Top 10 categories, the system achieves Precision = 1.0, Recall = 1.0, F1 = 1.0 (15/15 planted vulnerabilities caught, 0/30 false positives across 3 repeated runs). Head-to-head against a self-built, transparent regex baseline, both approaches tie on obvious attacks; the semantic approach uniquely catches a paraphrased, keyword-free payload the regex baseline misses. A companion Drift Monitor agent catches “rug pull” servers that turn malicious after passing an initial audit — a class of attack a one-shot static scan cannot structurally detect. The pipeline is finally exposed as an MCP server in its own right, so it can be composed into a real MCP client to vet an unfamiliar server before it is trusted. This document also records a live, unscripted verification run reproduced while writing this report, confirming the results outside prepared benchmark conditions.</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MCP security, tool poisoning, retrieval-augmented generation, local LLM, prompt injection, privilege escalation, drift detection, OWASP MCP Top 10.</w:t>
      </w:r>
    </w:p>
    <w:p>
      <w:pPr>
        <w:sectPr>
          <w:pgSz w:w="12240" w:h="15840" w:orient="portrait"/>
          <w:pgMar w:top="1080" w:right="900" w:bottom="1440" w:left="900" w:header="708" w:footer="708" w:gutter="0"/>
          <w:pgNumType/>
          <w:cols w:num="1"/>
          <w:docGrid w:linePitch="360"/>
        </w:sectPr>
      </w:pPr>
    </w:p>
    <w:p>
      <w:pPr>
        <w:spacing w:after="160" w:before="320"/>
        <w:jc w:val="center"/>
      </w:pPr>
      <w:r>
        <w:rPr>
          <w:rFonts w:ascii="Times New Roman" w:cs="Times New Roman" w:eastAsia="Times New Roman" w:hAnsi="Times New Roman"/>
          <w:b/>
          <w:bCs/>
          <w:smallCaps/>
          <w:sz w:val="20"/>
          <w:szCs w:val="20"/>
        </w:rPr>
        <w:t xml:space="preserve">I. Introduction</w:t>
      </w:r>
    </w:p>
    <w:p>
      <w:pPr>
        <w:spacing w:after="100" w:before="200"/>
        <w:jc w:val="left"/>
      </w:pPr>
      <w:r>
        <w:rPr>
          <w:rFonts w:ascii="Times New Roman" w:cs="Times New Roman" w:eastAsia="Times New Roman" w:hAnsi="Times New Roman"/>
          <w:i/>
          <w:iCs/>
          <w:sz w:val="20"/>
          <w:szCs w:val="20"/>
        </w:rPr>
        <w:t xml:space="preserve">A. Background</w:t>
      </w:r>
    </w:p>
    <w:p>
      <w:pPr>
        <w:spacing w:after="160" w:line="252"/>
        <w:jc w:val="both"/>
      </w:pPr>
      <w:r>
        <w:rPr>
          <w:rFonts w:ascii="Times New Roman" w:cs="Times New Roman" w:eastAsia="Times New Roman" w:hAnsi="Times New Roman"/>
          <w:sz w:val="20"/>
          <w:szCs w:val="20"/>
        </w:rPr>
        <w:t xml:space="preserve">The Model Context Protocol (MCP) standardizes how an LLM-based client discovers and calls tools exposed by a server: connect, enumerate the server's declared tools (each with a name, a natural-language description, and a JSON input schema), then let the model decide when to call which tool. The description is written by whoever built the server, and it is read by the calling model as part of its context — not just displayed to a human. That single fact is the attack surface this project addresses: a tool description can contain text engineered to look like an instruction aimed at the AI model itself, rather than documentation aimed at a human developer deciding whether to trust the tool.</w:t>
      </w:r>
    </w:p>
    <w:p>
      <w:pPr>
        <w:spacing w:after="100" w:before="200"/>
        <w:jc w:val="left"/>
      </w:pPr>
      <w:r>
        <w:rPr>
          <w:rFonts w:ascii="Times New Roman" w:cs="Times New Roman" w:eastAsia="Times New Roman" w:hAnsi="Times New Roman"/>
          <w:i/>
          <w:iCs/>
          <w:sz w:val="20"/>
          <w:szCs w:val="20"/>
        </w:rPr>
        <w:t xml:space="preserve">B. The Problem</w:t>
      </w:r>
    </w:p>
    <w:p>
      <w:pPr>
        <w:spacing w:after="160" w:line="252"/>
        <w:jc w:val="both"/>
      </w:pPr>
      <w:r>
        <w:rPr>
          <w:rFonts w:ascii="Times New Roman" w:cs="Times New Roman" w:eastAsia="Times New Roman" w:hAnsi="Times New Roman"/>
          <w:sz w:val="20"/>
          <w:szCs w:val="20"/>
        </w:rPr>
        <w:t xml:space="preserve">Existing MCP scanners are predominantly static and keyword-based: they grep tool descriptions for phrases like “ignore previous instructions” or file paths like “~/.ssh”. This class of scanner reliably catches the obvious case but is trivially evaded by paraphrasing — dropping every alarming keyword while preserving the malicious instruction's meaning. A second, structurally distinct gap is temporal: a one-shot scan only ever proves a server was clean at the moment it was scanned. A server that behaves honestly at install time and changes a tool's description after a user has already trusted it (a “rug pull”) passes every static scan.</w:t>
      </w:r>
    </w:p>
    <w:p>
      <w:pPr>
        <w:spacing w:after="100" w:before="200"/>
        <w:jc w:val="left"/>
      </w:pPr>
      <w:r>
        <w:rPr>
          <w:rFonts w:ascii="Times New Roman" w:cs="Times New Roman" w:eastAsia="Times New Roman" w:hAnsi="Times New Roman"/>
          <w:i/>
          <w:iCs/>
          <w:sz w:val="20"/>
          <w:szCs w:val="20"/>
        </w:rPr>
        <w:t xml:space="preserve">C. Contributions</w:t>
      </w:r>
    </w:p>
    <w:p>
      <w:pPr>
        <w:pStyle w:val="ListParagraph"/>
        <w:numPr>
          <w:ilvl w:val="0"/>
          <w:numId w:val="2"/>
        </w:numPr>
        <w:spacing w:after="80" w:line="252"/>
        <w:jc w:val="both"/>
      </w:pPr>
      <w:r>
        <w:rPr>
          <w:rFonts w:ascii="Times New Roman" w:cs="Times New Roman" w:eastAsia="Times New Roman" w:hAnsi="Times New Roman"/>
          <w:sz w:val="20"/>
          <w:szCs w:val="20"/>
        </w:rPr>
        <w:t xml:space="preserve">A five-agent detection pipeline (Recon → RAG retrieval → Semantic Analyzer → Drift Monitor → Reporting) that judges tool descriptions semantically rather than by keyword matching.</w:t>
      </w:r>
    </w:p>
    <w:p>
      <w:pPr>
        <w:pStyle w:val="ListParagraph"/>
        <w:numPr>
          <w:ilvl w:val="0"/>
          <w:numId w:val="2"/>
        </w:numPr>
        <w:spacing w:after="80" w:line="252"/>
        <w:jc w:val="both"/>
      </w:pPr>
      <w:r>
        <w:rPr>
          <w:rFonts w:ascii="Times New Roman" w:cs="Times New Roman" w:eastAsia="Times New Roman" w:hAnsi="Times New Roman"/>
          <w:sz w:val="20"/>
          <w:szCs w:val="20"/>
        </w:rPr>
        <w:t xml:space="preserve">A purpose-built, six-server test bed spanning three OWASP MCP Top 10 categories, with a labeled ground-truth answer key, used to compute Precision/Recall/F1.</w:t>
      </w:r>
    </w:p>
    <w:p>
      <w:pPr>
        <w:pStyle w:val="ListParagraph"/>
        <w:numPr>
          <w:ilvl w:val="0"/>
          <w:numId w:val="2"/>
        </w:numPr>
        <w:spacing w:after="80" w:line="252"/>
        <w:jc w:val="both"/>
      </w:pPr>
      <w:r>
        <w:rPr>
          <w:rFonts w:ascii="Times New Roman" w:cs="Times New Roman" w:eastAsia="Times New Roman" w:hAnsi="Times New Roman"/>
          <w:sz w:val="20"/>
          <w:szCs w:val="20"/>
        </w:rPr>
        <w:t xml:space="preserve">A self-built, transparent regex/keyword baseline scanner, run head-to-head against the semantic approach on the same test bed.</w:t>
      </w:r>
    </w:p>
    <w:p>
      <w:pPr>
        <w:pStyle w:val="ListParagraph"/>
        <w:numPr>
          <w:ilvl w:val="0"/>
          <w:numId w:val="2"/>
        </w:numPr>
        <w:spacing w:after="80" w:line="252"/>
        <w:jc w:val="both"/>
      </w:pPr>
      <w:r>
        <w:rPr>
          <w:rFonts w:ascii="Times New Roman" w:cs="Times New Roman" w:eastAsia="Times New Roman" w:hAnsi="Times New Roman"/>
          <w:sz w:val="20"/>
          <w:szCs w:val="20"/>
        </w:rPr>
        <w:t xml:space="preserve">A Drift Monitor agent that detects post-install “rug pull” servers, validated with a live before/after demonstration.</w:t>
      </w:r>
    </w:p>
    <w:p>
      <w:pPr>
        <w:pStyle w:val="ListParagraph"/>
        <w:numPr>
          <w:ilvl w:val="0"/>
          <w:numId w:val="2"/>
        </w:numPr>
        <w:spacing w:after="80" w:line="252"/>
        <w:jc w:val="both"/>
      </w:pPr>
      <w:r>
        <w:rPr>
          <w:rFonts w:ascii="Times New Roman" w:cs="Times New Roman" w:eastAsia="Times New Roman" w:hAnsi="Times New Roman"/>
          <w:sz w:val="20"/>
          <w:szCs w:val="20"/>
        </w:rPr>
        <w:t xml:space="preserve">A deployable form factor: the auditor's own detection pipeline is exposed as an MCP server, so a real MCP client can call it to vet an unfamiliar server before adding it.</w:t>
      </w:r>
    </w:p>
    <w:p>
      <w:pPr>
        <w:sectPr>
          <w:type w:val="continuous"/>
          <w:pgSz w:w="12240" w:h="15840" w:orient="portrait"/>
          <w:pgMar w:top="1080" w:right="900" w:bottom="1440" w:left="900" w:header="708" w:footer="708" w:gutter="0"/>
          <w:pgNumType/>
          <w:cols w:space="288" w:num="2"/>
          <w:docGrid w:linePitch="360"/>
        </w:sectPr>
      </w:pPr>
    </w:p>
    <w:p>
      <w:pPr>
        <w:spacing w:after="160" w:before="320"/>
        <w:jc w:val="center"/>
      </w:pPr>
      <w:r>
        <w:rPr>
          <w:rFonts w:ascii="Times New Roman" w:cs="Times New Roman" w:eastAsia="Times New Roman" w:hAnsi="Times New Roman"/>
          <w:b/>
          <w:bCs/>
          <w:smallCaps/>
          <w:sz w:val="20"/>
          <w:szCs w:val="20"/>
        </w:rPr>
        <w:t xml:space="preserve">II. Background: Owasp Mcp Top 10</w:t>
      </w:r>
    </w:p>
    <w:p>
      <w:pPr>
        <w:spacing w:after="160" w:line="252"/>
        <w:jc w:val="both"/>
      </w:pPr>
      <w:r>
        <w:rPr>
          <w:rFonts w:ascii="Times New Roman" w:cs="Times New Roman" w:eastAsia="Times New Roman" w:hAnsi="Times New Roman"/>
          <w:sz w:val="20"/>
          <w:szCs w:val="20"/>
        </w:rPr>
        <w:t xml:space="preserve">Findings in this project are mapped against the OWASP MCP Top 10 (beta / Phase 3 pilot testing, 2025 series). The framework was still in beta as of mid-2026, so categories are cited as “MCPxx:2025” rather than treated as a finalized standard. The categories relevant to this project's test bed and detection logic are summarized in Table I.</w:t>
      </w:r>
    </w:p>
    <w:p>
      <w:pPr>
        <w:spacing w:after="40" w:before="120"/>
        <w:jc w:val="center"/>
      </w:pPr>
      <w:r>
        <w:rPr>
          <w:rFonts w:ascii="Times New Roman" w:cs="Times New Roman" w:eastAsia="Times New Roman" w:hAnsi="Times New Roman"/>
          <w:b w:val="false"/>
          <w:bCs w:val="false"/>
          <w:smallCaps/>
          <w:sz w:val="18"/>
          <w:szCs w:val="18"/>
        </w:rPr>
        <w:t xml:space="preserve">TABLE I</w:t>
      </w:r>
    </w:p>
    <w:p>
      <w:pPr>
        <w:spacing w:after="100"/>
        <w:jc w:val="center"/>
      </w:pPr>
      <w:r>
        <w:rPr>
          <w:rFonts w:ascii="Times New Roman" w:cs="Times New Roman" w:eastAsia="Times New Roman" w:hAnsi="Times New Roman"/>
          <w:smallCaps/>
          <w:sz w:val="18"/>
          <w:szCs w:val="18"/>
        </w:rPr>
        <w:t xml:space="preserve">OWASP MCP Top 10 categories referenced by this project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62"/>
        <w:gridCol w:w="3341"/>
        <w:gridCol w:w="5638"/>
      </w:tblGrid>
      <w:tr>
        <w:trPr>
          <w:tblHeader/>
        </w:trPr>
        <w:tc>
          <w:tcPr>
            <w:tcW w:type="dxa" w:w="1462"/>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Code</w:t>
            </w:r>
          </w:p>
        </w:tc>
        <w:tc>
          <w:tcPr>
            <w:tcW w:type="dxa" w:w="3341"/>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Category</w:t>
            </w:r>
          </w:p>
        </w:tc>
        <w:tc>
          <w:tcPr>
            <w:tcW w:type="dxa" w:w="5638"/>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Relevance to this project</w:t>
            </w:r>
          </w:p>
        </w:tc>
      </w:tr>
      <w:tr>
        <w:tc>
          <w:tcPr>
            <w:tcW w:type="dxa" w:w="146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MCP01:2025</w:t>
            </w:r>
          </w:p>
        </w:tc>
        <w:tc>
          <w:tcPr>
            <w:tcW w:type="dxa" w:w="3341"/>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Token Mismanagement &amp; Secret Exposure</w:t>
            </w:r>
          </w:p>
        </w:tc>
        <w:tc>
          <w:tcPr>
            <w:tcW w:type="dxa" w:w="563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A tool description asks the model to pass a long-lived credential as a raw plaintext argument on every call.</w:t>
            </w:r>
          </w:p>
        </w:tc>
      </w:tr>
      <w:tr>
        <w:tc>
          <w:tcPr>
            <w:tcW w:type="dxa" w:w="146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MCP02:2025</w:t>
            </w:r>
          </w:p>
        </w:tc>
        <w:tc>
          <w:tcPr>
            <w:tcW w:type="dxa" w:w="3341"/>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Privilege Escalation via Scope Creep</w:t>
            </w:r>
          </w:p>
        </w:tc>
        <w:tc>
          <w:tcPr>
            <w:tcW w:type="dxa" w:w="563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A tool's declared description understates its actual capability, or its name typosquats a trusted tool while adding an undisclosed side effect.</w:t>
            </w:r>
          </w:p>
        </w:tc>
      </w:tr>
      <w:tr>
        <w:tc>
          <w:tcPr>
            <w:tcW w:type="dxa" w:w="146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MCP03:2025</w:t>
            </w:r>
          </w:p>
        </w:tc>
        <w:tc>
          <w:tcPr>
            <w:tcW w:type="dxa" w:w="3341"/>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Tool Poisoning</w:t>
            </w:r>
          </w:p>
        </w:tc>
        <w:tc>
          <w:tcPr>
            <w:tcW w:type="dxa" w:w="563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A tool description contains an embedded instruction directed at the calling model rather than at the human user.</w:t>
            </w:r>
          </w:p>
        </w:tc>
      </w:tr>
      <w:tr>
        <w:tc>
          <w:tcPr>
            <w:tcW w:type="dxa" w:w="146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MCP06:2025</w:t>
            </w:r>
          </w:p>
        </w:tc>
        <w:tc>
          <w:tcPr>
            <w:tcW w:type="dxa" w:w="3341"/>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Prompt Injection via Contextual Payloads</w:t>
            </w:r>
          </w:p>
        </w:tc>
        <w:tc>
          <w:tcPr>
            <w:tcW w:type="dxa" w:w="563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Instructions aimed at hijacking the model's next action arrive via tool output rather than the description itself.</w:t>
            </w:r>
          </w:p>
        </w:tc>
      </w:tr>
      <w:tr>
        <w:tc>
          <w:tcPr>
            <w:tcW w:type="dxa" w:w="1462"/>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MCP09:2025</w:t>
            </w:r>
          </w:p>
        </w:tc>
        <w:tc>
          <w:tcPr>
            <w:tcW w:type="dxa" w:w="3341"/>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Shadow MCP Servers</w:t>
            </w:r>
          </w:p>
        </w:tc>
        <w:tc>
          <w:tcPr>
            <w:tcW w:type="dxa" w:w="5638"/>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A server was added to an agent's configuration outside of any review or allowlist process.</w:t>
            </w:r>
          </w:p>
        </w:tc>
      </w:tr>
    </w:tbl>
    <w:p>
      <w:pPr>
        <w:spacing w:after="200"/>
      </w:pPr>
    </w:p>
    <w:p>
      <w:pPr>
        <w:sectPr>
          <w:type w:val="continuous"/>
          <w:pgSz w:w="12240" w:h="15840" w:orient="portrait"/>
          <w:pgMar w:top="1080" w:right="900" w:bottom="1440" w:left="900" w:header="708" w:footer="708" w:gutter="0"/>
          <w:pgNumType/>
          <w:cols w:num="1"/>
          <w:docGrid w:linePitch="360"/>
        </w:sectPr>
      </w:pPr>
    </w:p>
    <w:p>
      <w:pPr>
        <w:spacing w:after="160" w:before="320"/>
        <w:jc w:val="center"/>
      </w:pPr>
      <w:r>
        <w:rPr>
          <w:rFonts w:ascii="Times New Roman" w:cs="Times New Roman" w:eastAsia="Times New Roman" w:hAnsi="Times New Roman"/>
          <w:b/>
          <w:bCs/>
          <w:smallCaps/>
          <w:sz w:val="20"/>
          <w:szCs w:val="20"/>
        </w:rPr>
        <w:t xml:space="preserve">III. System Architecture</w:t>
      </w:r>
    </w:p>
    <w:p>
      <w:pPr>
        <w:spacing w:after="160" w:line="252"/>
        <w:jc w:val="both"/>
      </w:pPr>
      <w:r>
        <w:rPr>
          <w:rFonts w:ascii="Times New Roman" w:cs="Times New Roman" w:eastAsia="Times New Roman" w:hAnsi="Times New Roman"/>
          <w:sz w:val="20"/>
          <w:szCs w:val="20"/>
        </w:rPr>
        <w:t xml:space="preserve">The system is organized as a pipeline of independent, single-responsibility agents, each consuming the previous agent's output (Table II). Every agent is plain Python with a synchronous, dict/JSON-shaped interface — deliberately framework-agnostic, so the pipeline can be embedded in a LangGraph-style orchestration layer without rewriting the detection logic itself.</w:t>
      </w:r>
    </w:p>
    <w:p>
      <w:pPr>
        <w:sectPr>
          <w:type w:val="continuous"/>
          <w:pgSz w:w="12240" w:h="15840" w:orient="portrait"/>
          <w:pgMar w:top="1080" w:right="900" w:bottom="1440" w:left="900" w:header="708" w:footer="708" w:gutter="0"/>
          <w:pgNumType/>
          <w:cols w:space="288" w:num="2"/>
          <w:docGrid w:linePitch="360"/>
        </w:sectPr>
      </w:pPr>
    </w:p>
    <w:p>
      <w:pPr>
        <w:spacing w:after="40" w:before="120"/>
        <w:jc w:val="center"/>
      </w:pPr>
      <w:r>
        <w:rPr>
          <w:rFonts w:ascii="Times New Roman" w:cs="Times New Roman" w:eastAsia="Times New Roman" w:hAnsi="Times New Roman"/>
          <w:b w:val="false"/>
          <w:bCs w:val="false"/>
          <w:smallCaps/>
          <w:sz w:val="18"/>
          <w:szCs w:val="18"/>
        </w:rPr>
        <w:t xml:space="preserve">TABLE II</w:t>
      </w:r>
    </w:p>
    <w:p>
      <w:pPr>
        <w:spacing w:after="100"/>
        <w:jc w:val="center"/>
      </w:pPr>
      <w:r>
        <w:rPr>
          <w:rFonts w:ascii="Times New Roman" w:cs="Times New Roman" w:eastAsia="Times New Roman" w:hAnsi="Times New Roman"/>
          <w:smallCaps/>
          <w:sz w:val="18"/>
          <w:szCs w:val="18"/>
        </w:rPr>
        <w:t xml:space="preserve">Pipeline stages and their responsibilities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835"/>
        <w:gridCol w:w="2506"/>
        <w:gridCol w:w="7099"/>
      </w:tblGrid>
      <w:tr>
        <w:trPr>
          <w:tblHeader/>
        </w:trPr>
        <w:tc>
          <w:tcPr>
            <w:tcW w:type="dxa" w:w="835"/>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Stage</w:t>
            </w:r>
          </w:p>
        </w:tc>
        <w:tc>
          <w:tcPr>
            <w:tcW w:type="dxa" w:w="2506"/>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Agent</w:t>
            </w:r>
          </w:p>
        </w:tc>
        <w:tc>
          <w:tcPr>
            <w:tcW w:type="dxa" w:w="7099"/>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Role</w:t>
            </w:r>
          </w:p>
        </w:tc>
      </w:tr>
      <w:tr>
        <w:tc>
          <w:tcPr>
            <w:tcW w:type="dxa" w:w="835"/>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1</w:t>
            </w:r>
          </w:p>
        </w:tc>
        <w:tc>
          <w:tcPr>
            <w:tcW w:type="dxa" w:w="2506"/>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Recon</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Connects to the target MCP server over stdio, completes the MCP handshake, enumerates every tool, resource, and prompt it declares.</w:t>
            </w:r>
          </w:p>
        </w:tc>
      </w:tr>
      <w:tr>
        <w:tc>
          <w:tcPr>
            <w:tcW w:type="dxa" w:w="835"/>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2</w:t>
            </w:r>
          </w:p>
        </w:tc>
        <w:tc>
          <w:tcPr>
            <w:tcW w:type="dxa" w:w="2506"/>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RAG Knowledge Base</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Embeds tool text and retrieves the k most similar known attack patterns from a local Chroma vector store.</w:t>
            </w:r>
          </w:p>
        </w:tc>
      </w:tr>
      <w:tr>
        <w:tc>
          <w:tcPr>
            <w:tcW w:type="dxa" w:w="835"/>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3</w:t>
            </w:r>
          </w:p>
        </w:tc>
        <w:tc>
          <w:tcPr>
            <w:tcW w:type="dxa" w:w="2506"/>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Semantic Analyzer</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Builds a grounded prompt from the tool, the retrieved patterns, and a computed typosquat check; asks a local LLM for a structured verdict.</w:t>
            </w:r>
          </w:p>
        </w:tc>
      </w:tr>
      <w:tr>
        <w:tc>
          <w:tcPr>
            <w:tcW w:type="dxa" w:w="835"/>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4</w:t>
            </w:r>
          </w:p>
        </w:tc>
        <w:tc>
          <w:tcPr>
            <w:tcW w:type="dxa" w:w="2506"/>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Drift Monitor</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Baselines a server's tool hashes now; on a later check, diffs against the baseline and re-analyzes anything that changed.</w:t>
            </w:r>
          </w:p>
        </w:tc>
      </w:tr>
      <w:tr>
        <w:tc>
          <w:tcPr>
            <w:tcW w:type="dxa" w:w="835"/>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5</w:t>
            </w:r>
          </w:p>
        </w:tc>
        <w:tc>
          <w:tcPr>
            <w:tcW w:type="dxa" w:w="2506"/>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Reporting</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Synthesizes findings into a severity-scored, OWASP-mapped Markdown report.</w:t>
            </w:r>
          </w:p>
        </w:tc>
      </w:tr>
      <w:tr>
        <w:tc>
          <w:tcPr>
            <w:tcW w:type="dxa" w:w="835"/>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w:t>
            </w:r>
          </w:p>
        </w:tc>
        <w:tc>
          <w:tcPr>
            <w:tcW w:type="dxa" w:w="2506"/>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Sandboxed Demo</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Shows concrete impact of a flagged tool using synthetic decoy files only — never real paths.</w:t>
            </w:r>
          </w:p>
        </w:tc>
      </w:tr>
      <w:tr>
        <w:tc>
          <w:tcPr>
            <w:tcW w:type="dxa" w:w="835"/>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w:t>
            </w:r>
          </w:p>
        </w:tc>
        <w:tc>
          <w:tcPr>
            <w:tcW w:type="dxa" w:w="2506"/>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Baseline Regex Scanner</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A transparent, deterministic keyword/schema scanner, run for comparison only — not part of the production pipeline.</w:t>
            </w:r>
          </w:p>
        </w:tc>
      </w:tr>
      <w:tr>
        <w:tc>
          <w:tcPr>
            <w:tcW w:type="dxa" w:w="835"/>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w:t>
            </w:r>
          </w:p>
        </w:tc>
        <w:tc>
          <w:tcPr>
            <w:tcW w:type="dxa" w:w="2506"/>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Auditor MCP Server</w:t>
            </w:r>
          </w:p>
        </w:tc>
        <w:tc>
          <w:tcPr>
            <w:tcW w:type="dxa" w:w="7099"/>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Wraps the whole pipeline as an MCP server in its own right, so any MCP client can call it directly.</w:t>
            </w:r>
          </w:p>
        </w:tc>
      </w:tr>
    </w:tbl>
    <w:p>
      <w:pPr>
        <w:spacing w:after="200"/>
      </w:pPr>
    </w:p>
    <w:p>
      <w:pPr>
        <w:sectPr>
          <w:type w:val="continuous"/>
          <w:pgSz w:w="12240" w:h="15840" w:orient="portrait"/>
          <w:pgMar w:top="1080" w:right="900" w:bottom="1440" w:left="900" w:header="708" w:footer="708" w:gutter="0"/>
          <w:pgNumType/>
          <w:cols w:num="1"/>
          <w:docGrid w:linePitch="360"/>
        </w:sectPr>
      </w:pPr>
    </w:p>
    <w:p>
      <w:pPr>
        <w:spacing w:after="160" w:before="320"/>
        <w:jc w:val="center"/>
      </w:pPr>
      <w:r>
        <w:rPr>
          <w:rFonts w:ascii="Times New Roman" w:cs="Times New Roman" w:eastAsia="Times New Roman" w:hAnsi="Times New Roman"/>
          <w:b/>
          <w:bCs/>
          <w:smallCaps/>
          <w:sz w:val="20"/>
          <w:szCs w:val="20"/>
        </w:rPr>
        <w:t xml:space="preserve">IV. Methodology</w:t>
      </w:r>
    </w:p>
    <w:p>
      <w:pPr>
        <w:spacing w:after="100" w:before="200"/>
        <w:jc w:val="left"/>
      </w:pPr>
      <w:r>
        <w:rPr>
          <w:rFonts w:ascii="Times New Roman" w:cs="Times New Roman" w:eastAsia="Times New Roman" w:hAnsi="Times New Roman"/>
          <w:i/>
          <w:iCs/>
          <w:sz w:val="20"/>
          <w:szCs w:val="20"/>
        </w:rPr>
        <w:t xml:space="preserve">A. Recon Agent</w:t>
      </w:r>
    </w:p>
    <w:p>
      <w:pPr>
        <w:spacing w:after="160" w:line="252"/>
        <w:jc w:val="both"/>
      </w:pPr>
      <w:r>
        <w:rPr>
          <w:rFonts w:ascii="Times New Roman" w:cs="Times New Roman" w:eastAsia="Times New Roman" w:hAnsi="Times New Roman"/>
          <w:b/>
          <w:bCs/>
          <w:sz w:val="20"/>
          <w:szCs w:val="20"/>
        </w:rPr>
        <w:t xml:space="preserve">Purpose: </w:t>
      </w:r>
      <w:r>
        <w:rPr>
          <w:rFonts w:ascii="Times New Roman" w:cs="Times New Roman" w:eastAsia="Times New Roman" w:hAnsi="Times New Roman"/>
          <w:sz w:val="20"/>
          <w:szCs w:val="20"/>
        </w:rPr>
        <w:t xml:space="preserve">Establish ground truth about what a target server actually exposes before any judgment is made.</w:t>
      </w:r>
    </w:p>
    <w:p>
      <w:pPr>
        <w:spacing w:after="160" w:line="252"/>
        <w:jc w:val="both"/>
      </w:pPr>
      <w:r>
        <w:rPr>
          <w:rFonts w:ascii="Times New Roman" w:cs="Times New Roman" w:eastAsia="Times New Roman" w:hAnsi="Times New Roman"/>
          <w:sz w:val="20"/>
          <w:szCs w:val="20"/>
        </w:rPr>
        <w:t xml:space="preserve">Uses the official MCP Python SDK's stdio client to launch the target server as a subprocess, perform the MCP initialize handshake, then call list_tools, list_resources, and list_prompts. Each tool is captured as a (name, description, input_schema) record. By default the subprocess receives the SDK's filtered environment rather than a full inherited environment, appropriate when scanning a third-party server not yet trusted.</w:t>
      </w:r>
    </w:p>
    <w:p>
      <w:pPr>
        <w:spacing w:after="160" w:line="252"/>
        <w:jc w:val="both"/>
      </w:pPr>
      <w:r>
        <w:rPr>
          <w:rFonts w:ascii="Times New Roman" w:cs="Times New Roman" w:eastAsia="Times New Roman" w:hAnsi="Times New Roman"/>
          <w:b/>
          <w:bCs/>
          <w:i/>
          <w:iCs/>
          <w:sz w:val="20"/>
          <w:szCs w:val="20"/>
        </w:rPr>
        <w:t xml:space="preserve">Implementation: </w:t>
      </w:r>
      <w:r>
        <w:rPr>
          <w:rFonts w:ascii="Times New Roman" w:cs="Times New Roman" w:eastAsia="Times New Roman" w:hAnsi="Times New Roman"/>
          <w:i/>
          <w:iCs/>
          <w:sz w:val="18"/>
          <w:szCs w:val="18"/>
        </w:rPr>
        <w:t xml:space="preserve">agents/recon.py</w:t>
      </w:r>
    </w:p>
    <w:p>
      <w:pPr>
        <w:spacing w:after="100" w:before="200"/>
        <w:jc w:val="left"/>
      </w:pPr>
      <w:r>
        <w:rPr>
          <w:rFonts w:ascii="Times New Roman" w:cs="Times New Roman" w:eastAsia="Times New Roman" w:hAnsi="Times New Roman"/>
          <w:i/>
          <w:iCs/>
          <w:sz w:val="20"/>
          <w:szCs w:val="20"/>
        </w:rPr>
        <w:t xml:space="preserve">B. RAG Knowledge Base</w:t>
      </w:r>
    </w:p>
    <w:p>
      <w:pPr>
        <w:spacing w:after="160" w:line="252"/>
        <w:jc w:val="both"/>
      </w:pPr>
      <w:r>
        <w:rPr>
          <w:rFonts w:ascii="Times New Roman" w:cs="Times New Roman" w:eastAsia="Times New Roman" w:hAnsi="Times New Roman"/>
          <w:b/>
          <w:bCs/>
          <w:sz w:val="20"/>
          <w:szCs w:val="20"/>
        </w:rPr>
        <w:t xml:space="preserve">Purpose: </w:t>
      </w:r>
      <w:r>
        <w:rPr>
          <w:rFonts w:ascii="Times New Roman" w:cs="Times New Roman" w:eastAsia="Times New Roman" w:hAnsi="Times New Roman"/>
          <w:sz w:val="20"/>
          <w:szCs w:val="20"/>
        </w:rPr>
        <w:t xml:space="preserve">Ground each verdict in retrieved, citable examples of known attack technique — not just an LLM's unaided opinion.</w:t>
      </w:r>
    </w:p>
    <w:p>
      <w:pPr>
        <w:spacing w:after="160" w:line="252"/>
        <w:jc w:val="both"/>
      </w:pPr>
      <w:r>
        <w:rPr>
          <w:rFonts w:ascii="Times New Roman" w:cs="Times New Roman" w:eastAsia="Times New Roman" w:hAnsi="Times New Roman"/>
          <w:sz w:val="20"/>
          <w:szCs w:val="20"/>
        </w:rPr>
        <w:t xml:space="preserve">A curated set of 12 short attack-pattern descriptions, each mapped to an OWASP MCP code, is embedded and stored in a local Chroma collection using Ollama's nomic-embed-text model, keeping everything on-machine. A dependency-free hashing fallback exists only to exercise the pipeline's plumbing when Ollama is unavailable, never trusted for real findings. A stored signature of the active embedding configuration is checked on every startup; if it changed, the store is wiped and rebuilt rather than comparing incompatible embedding spaces.</w:t>
      </w:r>
    </w:p>
    <w:p>
      <w:pPr>
        <w:spacing w:after="160" w:line="252"/>
        <w:jc w:val="both"/>
      </w:pPr>
      <w:r>
        <w:rPr>
          <w:rFonts w:ascii="Times New Roman" w:cs="Times New Roman" w:eastAsia="Times New Roman" w:hAnsi="Times New Roman"/>
          <w:b/>
          <w:bCs/>
          <w:i/>
          <w:iCs/>
          <w:sz w:val="20"/>
          <w:szCs w:val="20"/>
        </w:rPr>
        <w:t xml:space="preserve">Implementation: </w:t>
      </w:r>
      <w:r>
        <w:rPr>
          <w:rFonts w:ascii="Times New Roman" w:cs="Times New Roman" w:eastAsia="Times New Roman" w:hAnsi="Times New Roman"/>
          <w:i/>
          <w:iCs/>
          <w:sz w:val="18"/>
          <w:szCs w:val="18"/>
        </w:rPr>
        <w:t xml:space="preserve">rag/knowledge_base.py, rag/patterns.py</w:t>
      </w:r>
    </w:p>
    <w:p>
      <w:pPr>
        <w:spacing w:after="100" w:before="200"/>
        <w:jc w:val="left"/>
      </w:pPr>
      <w:r>
        <w:rPr>
          <w:rFonts w:ascii="Times New Roman" w:cs="Times New Roman" w:eastAsia="Times New Roman" w:hAnsi="Times New Roman"/>
          <w:i/>
          <w:iCs/>
          <w:sz w:val="20"/>
          <w:szCs w:val="20"/>
        </w:rPr>
        <w:t xml:space="preserve">C. Semantic Analyzer</w:t>
      </w:r>
    </w:p>
    <w:p>
      <w:pPr>
        <w:spacing w:after="160" w:line="252"/>
        <w:jc w:val="both"/>
      </w:pPr>
      <w:r>
        <w:rPr>
          <w:rFonts w:ascii="Times New Roman" w:cs="Times New Roman" w:eastAsia="Times New Roman" w:hAnsi="Times New Roman"/>
          <w:b/>
          <w:bCs/>
          <w:sz w:val="20"/>
          <w:szCs w:val="20"/>
        </w:rPr>
        <w:t xml:space="preserve">Purpose: </w:t>
      </w:r>
      <w:r>
        <w:rPr>
          <w:rFonts w:ascii="Times New Roman" w:cs="Times New Roman" w:eastAsia="Times New Roman" w:hAnsi="Times New Roman"/>
          <w:sz w:val="20"/>
          <w:szCs w:val="20"/>
        </w:rPr>
        <w:t xml:space="preserve">The project's core detection contribution: a prompt-injection-aware, retrieval-grounded LLM judgment per tool.</w:t>
      </w:r>
    </w:p>
    <w:p>
      <w:pPr>
        <w:spacing w:after="160" w:line="252"/>
        <w:jc w:val="both"/>
      </w:pPr>
      <w:r>
        <w:rPr>
          <w:rFonts w:ascii="Times New Roman" w:cs="Times New Roman" w:eastAsia="Times New Roman" w:hAnsi="Times New Roman"/>
          <w:sz w:val="20"/>
          <w:szCs w:val="20"/>
        </w:rPr>
        <w:t xml:space="preserve">For each tool, the three nearest attack patterns are retrieved as grounding context, alongside a deterministic typosquat check (plain Levenshtein edit distance against a generic list of common tool verbs). The system prompt explicitly frames the tool description as untrusted data, not an instruction to the analyzing model, and instructs that any embedded instruction aimed at an AI model is itself the vulnerability to report.</w:t>
      </w:r>
    </w:p>
    <w:p>
      <w:pPr>
        <w:spacing w:after="160" w:line="252"/>
        <w:jc w:val="both"/>
      </w:pPr>
      <w:r>
        <w:rPr>
          <w:rFonts w:ascii="Times New Roman" w:cs="Times New Roman" w:eastAsia="Times New Roman" w:hAnsi="Times New Roman"/>
          <w:sz w:val="20"/>
          <w:szCs w:val="20"/>
        </w:rPr>
        <w:t xml:space="preserve">The model returns a structured verdict — flagged, owasp_code, confidence, and a reasoning string that must quote the specific triggering phrase when flagged. The prompt is explicit that a plainly disclosed side effect is not scope creep; only an undersold or hidden capability is, which keeps the false-positive rate at zero on the test bed's clean tools.</w:t>
      </w:r>
    </w:p>
    <w:p>
      <w:pPr>
        <w:spacing w:after="160" w:line="252"/>
        <w:jc w:val="both"/>
      </w:pPr>
      <w:r>
        <w:rPr>
          <w:rFonts w:ascii="Times New Roman" w:cs="Times New Roman" w:eastAsia="Times New Roman" w:hAnsi="Times New Roman"/>
          <w:b/>
          <w:bCs/>
          <w:i/>
          <w:iCs/>
          <w:sz w:val="20"/>
          <w:szCs w:val="20"/>
        </w:rPr>
        <w:t xml:space="preserve">Implementation: </w:t>
      </w:r>
      <w:r>
        <w:rPr>
          <w:rFonts w:ascii="Times New Roman" w:cs="Times New Roman" w:eastAsia="Times New Roman" w:hAnsi="Times New Roman"/>
          <w:i/>
          <w:iCs/>
          <w:sz w:val="18"/>
          <w:szCs w:val="18"/>
        </w:rPr>
        <w:t xml:space="preserve">agents/semantic_analyzer.py</w:t>
      </w:r>
    </w:p>
    <w:p>
      <w:pPr>
        <w:spacing w:after="100" w:before="200"/>
        <w:jc w:val="left"/>
      </w:pPr>
      <w:r>
        <w:rPr>
          <w:rFonts w:ascii="Times New Roman" w:cs="Times New Roman" w:eastAsia="Times New Roman" w:hAnsi="Times New Roman"/>
          <w:i/>
          <w:iCs/>
          <w:sz w:val="20"/>
          <w:szCs w:val="20"/>
        </w:rPr>
        <w:t xml:space="preserve">D. Drift Monitor</w:t>
      </w:r>
    </w:p>
    <w:p>
      <w:pPr>
        <w:spacing w:after="160" w:line="252"/>
        <w:jc w:val="both"/>
      </w:pPr>
      <w:r>
        <w:rPr>
          <w:rFonts w:ascii="Times New Roman" w:cs="Times New Roman" w:eastAsia="Times New Roman" w:hAnsi="Times New Roman"/>
          <w:b/>
          <w:bCs/>
          <w:sz w:val="20"/>
          <w:szCs w:val="20"/>
        </w:rPr>
        <w:t xml:space="preserve">Purpose: </w:t>
      </w:r>
      <w:r>
        <w:rPr>
          <w:rFonts w:ascii="Times New Roman" w:cs="Times New Roman" w:eastAsia="Times New Roman" w:hAnsi="Times New Roman"/>
          <w:sz w:val="20"/>
          <w:szCs w:val="20"/>
        </w:rPr>
        <w:t xml:space="preserve">Catch servers that are honest at scan time and malicious afterward.</w:t>
      </w:r>
    </w:p>
    <w:p>
      <w:pPr>
        <w:spacing w:after="160" w:line="252"/>
        <w:jc w:val="both"/>
      </w:pPr>
      <w:r>
        <w:rPr>
          <w:rFonts w:ascii="Times New Roman" w:cs="Times New Roman" w:eastAsia="Times New Roman" w:hAnsi="Times New Roman"/>
          <w:sz w:val="20"/>
          <w:szCs w:val="20"/>
        </w:rPr>
        <w:t xml:space="preserve">baseline mode recons a server now, hashes each tool's (description, input_schema) pair with SHA-256, and persists it. check mode recons again and diffs against the stored baseline, classifying each tool as new, removed, or changed. Any changed tool is automatically re-run through the Semantic Analyzer.</w:t>
      </w:r>
    </w:p>
    <w:p>
      <w:pPr>
        <w:spacing w:after="160" w:line="252"/>
        <w:jc w:val="both"/>
      </w:pPr>
      <w:r>
        <w:rPr>
          <w:rFonts w:ascii="Times New Roman" w:cs="Times New Roman" w:eastAsia="Times New Roman" w:hAnsi="Times New Roman"/>
          <w:b/>
          <w:bCs/>
          <w:i/>
          <w:iCs/>
          <w:sz w:val="20"/>
          <w:szCs w:val="20"/>
        </w:rPr>
        <w:t xml:space="preserve">Implementation: </w:t>
      </w:r>
      <w:r>
        <w:rPr>
          <w:rFonts w:ascii="Times New Roman" w:cs="Times New Roman" w:eastAsia="Times New Roman" w:hAnsi="Times New Roman"/>
          <w:i/>
          <w:iCs/>
          <w:sz w:val="18"/>
          <w:szCs w:val="18"/>
        </w:rPr>
        <w:t xml:space="preserve">agents/drift_monitor.py</w:t>
      </w:r>
    </w:p>
    <w:p>
      <w:pPr>
        <w:spacing w:after="100" w:before="200"/>
        <w:jc w:val="left"/>
      </w:pPr>
      <w:r>
        <w:rPr>
          <w:rFonts w:ascii="Times New Roman" w:cs="Times New Roman" w:eastAsia="Times New Roman" w:hAnsi="Times New Roman"/>
          <w:i/>
          <w:iCs/>
          <w:sz w:val="20"/>
          <w:szCs w:val="20"/>
        </w:rPr>
        <w:t xml:space="preserve">E. Reporting Agent</w:t>
      </w:r>
    </w:p>
    <w:p>
      <w:pPr>
        <w:spacing w:after="160" w:line="252"/>
        <w:jc w:val="both"/>
      </w:pPr>
      <w:r>
        <w:rPr>
          <w:rFonts w:ascii="Times New Roman" w:cs="Times New Roman" w:eastAsia="Times New Roman" w:hAnsi="Times New Roman"/>
          <w:b/>
          <w:bCs/>
          <w:sz w:val="20"/>
          <w:szCs w:val="20"/>
        </w:rPr>
        <w:t xml:space="preserve">Purpose: </w:t>
      </w:r>
      <w:r>
        <w:rPr>
          <w:rFonts w:ascii="Times New Roman" w:cs="Times New Roman" w:eastAsia="Times New Roman" w:hAnsi="Times New Roman"/>
          <w:sz w:val="20"/>
          <w:szCs w:val="20"/>
        </w:rPr>
        <w:t xml:space="preserve">Turn raw per-tool verdicts into a single artifact a human can read.</w:t>
      </w:r>
    </w:p>
    <w:p>
      <w:pPr>
        <w:spacing w:after="160" w:line="252"/>
        <w:jc w:val="both"/>
      </w:pPr>
      <w:r>
        <w:rPr>
          <w:rFonts w:ascii="Times New Roman" w:cs="Times New Roman" w:eastAsia="Times New Roman" w:hAnsi="Times New Roman"/>
          <w:sz w:val="20"/>
          <w:szCs w:val="20"/>
        </w:rPr>
        <w:t xml:space="preserve">Applies a documented severity heuristic: CRITICAL when a finding was introduced via drift; HIGH/MEDIUM/LOW otherwise, mirroring the analyzer's own confidence. Output is rendered as Markdown with an OWASP-category count table and one section per finding.</w:t>
      </w:r>
    </w:p>
    <w:p>
      <w:pPr>
        <w:spacing w:after="160" w:line="252"/>
        <w:jc w:val="both"/>
      </w:pPr>
      <w:r>
        <w:rPr>
          <w:rFonts w:ascii="Times New Roman" w:cs="Times New Roman" w:eastAsia="Times New Roman" w:hAnsi="Times New Roman"/>
          <w:b/>
          <w:bCs/>
          <w:i/>
          <w:iCs/>
          <w:sz w:val="20"/>
          <w:szCs w:val="20"/>
        </w:rPr>
        <w:t xml:space="preserve">Implementation: </w:t>
      </w:r>
      <w:r>
        <w:rPr>
          <w:rFonts w:ascii="Times New Roman" w:cs="Times New Roman" w:eastAsia="Times New Roman" w:hAnsi="Times New Roman"/>
          <w:i/>
          <w:iCs/>
          <w:sz w:val="18"/>
          <w:szCs w:val="18"/>
        </w:rPr>
        <w:t xml:space="preserve">agents/reporting.py</w:t>
      </w:r>
    </w:p>
    <w:p>
      <w:pPr>
        <w:spacing w:after="100" w:before="200"/>
        <w:jc w:val="left"/>
      </w:pPr>
      <w:r>
        <w:rPr>
          <w:rFonts w:ascii="Times New Roman" w:cs="Times New Roman" w:eastAsia="Times New Roman" w:hAnsi="Times New Roman"/>
          <w:i/>
          <w:iCs/>
          <w:sz w:val="20"/>
          <w:szCs w:val="20"/>
        </w:rPr>
        <w:t xml:space="preserve">F. Sandboxed Exploitation Demo</w:t>
      </w:r>
    </w:p>
    <w:p>
      <w:pPr>
        <w:spacing w:after="160" w:line="252"/>
        <w:jc w:val="both"/>
      </w:pPr>
      <w:r>
        <w:rPr>
          <w:rFonts w:ascii="Times New Roman" w:cs="Times New Roman" w:eastAsia="Times New Roman" w:hAnsi="Times New Roman"/>
          <w:b/>
          <w:bCs/>
          <w:sz w:val="20"/>
          <w:szCs w:val="20"/>
        </w:rPr>
        <w:t xml:space="preserve">Purpose: </w:t>
      </w:r>
      <w:r>
        <w:rPr>
          <w:rFonts w:ascii="Times New Roman" w:cs="Times New Roman" w:eastAsia="Times New Roman" w:hAnsi="Times New Roman"/>
          <w:sz w:val="20"/>
          <w:szCs w:val="20"/>
        </w:rPr>
        <w:t xml:space="preserve">Make a flagged finding's real-world impact concrete without touching a real file.</w:t>
      </w:r>
    </w:p>
    <w:p>
      <w:pPr>
        <w:spacing w:after="160" w:line="252"/>
        <w:jc w:val="both"/>
      </w:pPr>
      <w:r>
        <w:rPr>
          <w:rFonts w:ascii="Times New Roman" w:cs="Times New Roman" w:eastAsia="Times New Roman" w:hAnsi="Times New Roman"/>
          <w:sz w:val="20"/>
          <w:szCs w:val="20"/>
        </w:rPr>
        <w:t xml:space="preserve">Scripts a trivial “naive client” that extracts file-path-like language from a tool description and reads only from synthetic decoy files created locally — never the real paths named in the description.</w:t>
      </w:r>
    </w:p>
    <w:p>
      <w:pPr>
        <w:spacing w:after="160" w:line="252"/>
        <w:jc w:val="both"/>
      </w:pPr>
      <w:r>
        <w:rPr>
          <w:rFonts w:ascii="Times New Roman" w:cs="Times New Roman" w:eastAsia="Times New Roman" w:hAnsi="Times New Roman"/>
          <w:b/>
          <w:bCs/>
          <w:i/>
          <w:iCs/>
          <w:sz w:val="20"/>
          <w:szCs w:val="20"/>
        </w:rPr>
        <w:t xml:space="preserve">Implementation: </w:t>
      </w:r>
      <w:r>
        <w:rPr>
          <w:rFonts w:ascii="Times New Roman" w:cs="Times New Roman" w:eastAsia="Times New Roman" w:hAnsi="Times New Roman"/>
          <w:i/>
          <w:iCs/>
          <w:sz w:val="18"/>
          <w:szCs w:val="18"/>
        </w:rPr>
        <w:t xml:space="preserve">agents/sandbox_demo.py</w:t>
      </w:r>
    </w:p>
    <w:p>
      <w:pPr>
        <w:spacing w:after="100" w:before="200"/>
        <w:jc w:val="left"/>
      </w:pPr>
      <w:r>
        <w:rPr>
          <w:rFonts w:ascii="Times New Roman" w:cs="Times New Roman" w:eastAsia="Times New Roman" w:hAnsi="Times New Roman"/>
          <w:i/>
          <w:iCs/>
          <w:sz w:val="20"/>
          <w:szCs w:val="20"/>
        </w:rPr>
        <w:t xml:space="preserve">G. Baseline Regex Scanner</w:t>
      </w:r>
    </w:p>
    <w:p>
      <w:pPr>
        <w:spacing w:after="160" w:line="252"/>
        <w:jc w:val="both"/>
      </w:pPr>
      <w:r>
        <w:rPr>
          <w:rFonts w:ascii="Times New Roman" w:cs="Times New Roman" w:eastAsia="Times New Roman" w:hAnsi="Times New Roman"/>
          <w:b/>
          <w:bCs/>
          <w:sz w:val="20"/>
          <w:szCs w:val="20"/>
        </w:rPr>
        <w:t xml:space="preserve">Purpose: </w:t>
      </w:r>
      <w:r>
        <w:rPr>
          <w:rFonts w:ascii="Times New Roman" w:cs="Times New Roman" w:eastAsia="Times New Roman" w:hAnsi="Times New Roman"/>
          <w:sz w:val="20"/>
          <w:szCs w:val="20"/>
        </w:rPr>
        <w:t xml:space="preserve">Represent the class of existing static-pattern MCP scanners this project is measured against.</w:t>
      </w:r>
    </w:p>
    <w:p>
      <w:pPr>
        <w:spacing w:after="160" w:line="252"/>
        <w:jc w:val="both"/>
      </w:pPr>
      <w:r>
        <w:rPr>
          <w:rFonts w:ascii="Times New Roman" w:cs="Times New Roman" w:eastAsia="Times New Roman" w:hAnsi="Times New Roman"/>
          <w:sz w:val="20"/>
          <w:szCs w:val="20"/>
        </w:rPr>
        <w:t xml:space="preserve">A fully deterministic, zero-LLM scanner: suspicious phrase patterns, destructive-sounding schema parameter names, and the same typosquat-plus-side-effect rule as the semantic analyzer, applied as a literal keyword list. Shares the semantic analyzer's output shape so it plugs into the same benchmark harness.</w:t>
      </w:r>
    </w:p>
    <w:p>
      <w:pPr>
        <w:spacing w:after="160" w:line="252"/>
        <w:jc w:val="both"/>
      </w:pPr>
      <w:r>
        <w:rPr>
          <w:rFonts w:ascii="Times New Roman" w:cs="Times New Roman" w:eastAsia="Times New Roman" w:hAnsi="Times New Roman"/>
          <w:b/>
          <w:bCs/>
          <w:i/>
          <w:iCs/>
          <w:sz w:val="20"/>
          <w:szCs w:val="20"/>
        </w:rPr>
        <w:t xml:space="preserve">Implementation: </w:t>
      </w:r>
      <w:r>
        <w:rPr>
          <w:rFonts w:ascii="Times New Roman" w:cs="Times New Roman" w:eastAsia="Times New Roman" w:hAnsi="Times New Roman"/>
          <w:i/>
          <w:iCs/>
          <w:sz w:val="18"/>
          <w:szCs w:val="18"/>
        </w:rPr>
        <w:t xml:space="preserve">agents/baseline_regex_scanner.py</w:t>
      </w:r>
    </w:p>
    <w:p>
      <w:pPr>
        <w:spacing w:after="100" w:before="200"/>
        <w:jc w:val="left"/>
      </w:pPr>
      <w:r>
        <w:rPr>
          <w:rFonts w:ascii="Times New Roman" w:cs="Times New Roman" w:eastAsia="Times New Roman" w:hAnsi="Times New Roman"/>
          <w:i/>
          <w:iCs/>
          <w:sz w:val="20"/>
          <w:szCs w:val="20"/>
        </w:rPr>
        <w:t xml:space="preserve">H. The Auditor as an MCP Server</w:t>
      </w:r>
    </w:p>
    <w:p>
      <w:pPr>
        <w:spacing w:after="160" w:line="252"/>
        <w:jc w:val="both"/>
      </w:pPr>
      <w:r>
        <w:rPr>
          <w:rFonts w:ascii="Times New Roman" w:cs="Times New Roman" w:eastAsia="Times New Roman" w:hAnsi="Times New Roman"/>
          <w:b/>
          <w:bCs/>
          <w:sz w:val="20"/>
          <w:szCs w:val="20"/>
        </w:rPr>
        <w:t xml:space="preserve">Purpose: </w:t>
      </w:r>
      <w:r>
        <w:rPr>
          <w:rFonts w:ascii="Times New Roman" w:cs="Times New Roman" w:eastAsia="Times New Roman" w:hAnsi="Times New Roman"/>
          <w:sz w:val="20"/>
          <w:szCs w:val="20"/>
        </w:rPr>
        <w:t xml:space="preserve">Make the pipeline usable from inside a real MCP client, not just a terminal.</w:t>
      </w:r>
    </w:p>
    <w:p>
      <w:pPr>
        <w:spacing w:after="160" w:line="252"/>
        <w:jc w:val="both"/>
      </w:pPr>
      <w:r>
        <w:rPr>
          <w:rFonts w:ascii="Times New Roman" w:cs="Times New Roman" w:eastAsia="Times New Roman" w:hAnsi="Times New Roman"/>
          <w:sz w:val="20"/>
          <w:szCs w:val="20"/>
        </w:rPr>
        <w:t xml:space="preserve">auditor_mcp_server.py wraps the pipeline as an MCP server, exposing audit_mcp_server (full report) and quick_verdict (fast read). Added to an assistant's own MCP configuration, this lets a user ask it to vet an unfamiliar server before that server is ever connected to directly.</w:t>
      </w:r>
    </w:p>
    <w:p>
      <w:pPr>
        <w:spacing w:after="160" w:line="252"/>
        <w:jc w:val="both"/>
      </w:pPr>
      <w:r>
        <w:rPr>
          <w:rFonts w:ascii="Times New Roman" w:cs="Times New Roman" w:eastAsia="Times New Roman" w:hAnsi="Times New Roman"/>
          <w:b/>
          <w:bCs/>
          <w:i/>
          <w:iCs/>
          <w:sz w:val="20"/>
          <w:szCs w:val="20"/>
        </w:rPr>
        <w:t xml:space="preserve">Implementation: </w:t>
      </w:r>
      <w:r>
        <w:rPr>
          <w:rFonts w:ascii="Times New Roman" w:cs="Times New Roman" w:eastAsia="Times New Roman" w:hAnsi="Times New Roman"/>
          <w:i/>
          <w:iCs/>
          <w:sz w:val="18"/>
          <w:szCs w:val="18"/>
        </w:rPr>
        <w:t xml:space="preserve">agents/auditor_mcp_server.py</w:t>
      </w:r>
    </w:p>
    <w:p>
      <w:pPr>
        <w:spacing w:after="160" w:before="320"/>
        <w:jc w:val="center"/>
      </w:pPr>
      <w:r>
        <w:rPr>
          <w:rFonts w:ascii="Times New Roman" w:cs="Times New Roman" w:eastAsia="Times New Roman" w:hAnsi="Times New Roman"/>
          <w:b/>
          <w:bCs/>
          <w:smallCaps/>
          <w:sz w:val="20"/>
          <w:szCs w:val="20"/>
        </w:rPr>
        <w:t xml:space="preserve">V. Experimental Setup</w:t>
      </w:r>
    </w:p>
    <w:p>
      <w:pPr>
        <w:spacing w:after="100" w:before="200"/>
        <w:jc w:val="left"/>
      </w:pPr>
      <w:r>
        <w:rPr>
          <w:rFonts w:ascii="Times New Roman" w:cs="Times New Roman" w:eastAsia="Times New Roman" w:hAnsi="Times New Roman"/>
          <w:i/>
          <w:iCs/>
          <w:sz w:val="20"/>
          <w:szCs w:val="20"/>
        </w:rPr>
        <w:t xml:space="preserve">A. Test Bed</w:t>
      </w:r>
    </w:p>
    <w:p>
      <w:pPr>
        <w:spacing w:after="160" w:line="252"/>
        <w:jc w:val="both"/>
      </w:pPr>
      <w:r>
        <w:rPr>
          <w:rFonts w:ascii="Times New Roman" w:cs="Times New Roman" w:eastAsia="Times New Roman" w:hAnsi="Times New Roman"/>
          <w:sz w:val="20"/>
          <w:szCs w:val="20"/>
        </w:rPr>
        <w:t xml:space="preserve">Six purpose-built MCP servers under servers/, each targeting a specific detection case (Table III). servers/ground_truth.json is the labeled answer key used for scoring.</w:t>
      </w:r>
    </w:p>
    <w:p>
      <w:pPr>
        <w:sectPr>
          <w:type w:val="continuous"/>
          <w:pgSz w:w="12240" w:h="15840" w:orient="portrait"/>
          <w:pgMar w:top="1080" w:right="900" w:bottom="1440" w:left="900" w:header="708" w:footer="708" w:gutter="0"/>
          <w:pgNumType/>
          <w:cols w:space="288" w:num="2"/>
          <w:docGrid w:linePitch="360"/>
        </w:sectPr>
      </w:pPr>
    </w:p>
    <w:p>
      <w:pPr>
        <w:spacing w:after="40" w:before="120"/>
        <w:jc w:val="center"/>
      </w:pPr>
      <w:r>
        <w:rPr>
          <w:rFonts w:ascii="Times New Roman" w:cs="Times New Roman" w:eastAsia="Times New Roman" w:hAnsi="Times New Roman"/>
          <w:b w:val="false"/>
          <w:bCs w:val="false"/>
          <w:smallCaps/>
          <w:sz w:val="18"/>
          <w:szCs w:val="18"/>
        </w:rPr>
        <w:t xml:space="preserve">TABLE III</w:t>
      </w:r>
    </w:p>
    <w:p>
      <w:pPr>
        <w:spacing w:after="100"/>
        <w:jc w:val="center"/>
      </w:pPr>
      <w:r>
        <w:rPr>
          <w:rFonts w:ascii="Times New Roman" w:cs="Times New Roman" w:eastAsia="Times New Roman" w:hAnsi="Times New Roman"/>
          <w:smallCaps/>
          <w:sz w:val="18"/>
          <w:szCs w:val="18"/>
        </w:rPr>
        <w:t xml:space="preserve">Test-bed servers and planted vulnerability counts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1462"/>
        <w:gridCol w:w="6264"/>
      </w:tblGrid>
      <w:tr>
        <w:trPr>
          <w:tblHeader/>
        </w:trPr>
        <w:tc>
          <w:tcPr>
            <w:tcW w:type="dxa" w:w="2714"/>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Server</w:t>
            </w:r>
          </w:p>
        </w:tc>
        <w:tc>
          <w:tcPr>
            <w:tcW w:type="dxa" w:w="1462"/>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Planted</w:t>
            </w:r>
          </w:p>
        </w:tc>
        <w:tc>
          <w:tcPr>
            <w:tcW w:type="dxa" w:w="6264"/>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Purpose</w:t>
            </w:r>
          </w:p>
        </w:tc>
      </w:tr>
      <w:tr>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clean_server.py</w:t>
            </w:r>
          </w:p>
        </w:tc>
        <w:tc>
          <w:tcPr>
            <w:tcW w:type="dxa" w:w="146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0</w:t>
            </w:r>
          </w:p>
        </w:tc>
        <w:tc>
          <w:tcPr>
            <w:tcW w:type="dxa" w:w="626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Negative control — any flag here is a false positive.</w:t>
            </w:r>
          </w:p>
        </w:tc>
      </w:tr>
      <w:tr>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tool_poisoning_server.py</w:t>
            </w:r>
          </w:p>
        </w:tc>
        <w:tc>
          <w:tcPr>
            <w:tcW w:type="dxa" w:w="146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2 (MCP03)</w:t>
            </w:r>
          </w:p>
        </w:tc>
        <w:tc>
          <w:tcPr>
            <w:tcW w:type="dxa" w:w="626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One obvious payload; one paraphrased, keyword-free payload.</w:t>
            </w:r>
          </w:p>
        </w:tc>
      </w:tr>
      <w:tr>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permission_overreach_server.py</w:t>
            </w:r>
          </w:p>
        </w:tc>
        <w:tc>
          <w:tcPr>
            <w:tcW w:type="dxa" w:w="146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2 (MCP02)</w:t>
            </w:r>
          </w:p>
        </w:tc>
        <w:tc>
          <w:tcPr>
            <w:tcW w:type="dxa" w:w="626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Description/schema mismatch; typosquatted name with undisclosed network sync.</w:t>
            </w:r>
          </w:p>
        </w:tc>
      </w:tr>
      <w:tr>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token_mismanagement_server.py</w:t>
            </w:r>
          </w:p>
        </w:tc>
        <w:tc>
          <w:tcPr>
            <w:tcW w:type="dxa" w:w="146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1 (MCP01)</w:t>
            </w:r>
          </w:p>
        </w:tc>
        <w:tc>
          <w:tcPr>
            <w:tcW w:type="dxa" w:w="626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Tool instructs passing a plaintext API key as a call argument.</w:t>
            </w:r>
          </w:p>
        </w:tc>
      </w:tr>
      <w:tr>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rug_pull_server.py</w:t>
            </w:r>
          </w:p>
        </w:tc>
        <w:tc>
          <w:tcPr>
            <w:tcW w:type="dxa" w:w="146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0 or 1</w:t>
            </w:r>
          </w:p>
        </w:tc>
        <w:tc>
          <w:tcPr>
            <w:tcW w:type="dxa" w:w="626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Toggles clean ↔ poisoned via RUG_PULL env var, for the Drift Monitor demo.</w:t>
            </w:r>
          </w:p>
        </w:tc>
      </w:tr>
      <w:tr>
        <w:tc>
          <w:tcPr>
            <w:tcW w:type="dxa" w:w="2714"/>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holdout_server.py</w:t>
            </w:r>
          </w:p>
        </w:tc>
        <w:tc>
          <w:tcPr>
            <w:tcW w:type="dxa" w:w="1462"/>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1 (MCP02)</w:t>
            </w:r>
          </w:p>
        </w:tc>
        <w:tc>
          <w:tcPr>
            <w:tcW w:type="dxa" w:w="6264"/>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Generalization check — never referenced in the analyzer's prompt during development.</w:t>
            </w:r>
          </w:p>
        </w:tc>
      </w:tr>
    </w:tbl>
    <w:p>
      <w:pPr>
        <w:spacing w:after="200"/>
      </w:pPr>
    </w:p>
    <w:p>
      <w:pPr>
        <w:spacing w:after="40" w:before="120"/>
        <w:jc w:val="center"/>
      </w:pPr>
      <w:r>
        <w:rPr>
          <w:rFonts w:ascii="Times New Roman" w:cs="Times New Roman" w:eastAsia="Times New Roman" w:hAnsi="Times New Roman"/>
          <w:b w:val="false"/>
          <w:bCs w:val="false"/>
          <w:smallCaps/>
          <w:sz w:val="18"/>
          <w:szCs w:val="18"/>
        </w:rPr>
        <w:t xml:space="preserve">TABLE IV</w:t>
      </w:r>
    </w:p>
    <w:p>
      <w:pPr>
        <w:spacing w:after="100"/>
        <w:jc w:val="center"/>
      </w:pPr>
      <w:r>
        <w:rPr>
          <w:rFonts w:ascii="Times New Roman" w:cs="Times New Roman" w:eastAsia="Times New Roman" w:hAnsi="Times New Roman"/>
          <w:smallCaps/>
          <w:sz w:val="18"/>
          <w:szCs w:val="18"/>
        </w:rPr>
        <w:t xml:space="preserve">Runtime environment as installed on the demo machine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341"/>
        <w:gridCol w:w="7099"/>
      </w:tblGrid>
      <w:tr>
        <w:trPr>
          <w:tblHeader/>
        </w:trPr>
        <w:tc>
          <w:tcPr>
            <w:tcW w:type="dxa" w:w="3341"/>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Component</w:t>
            </w:r>
          </w:p>
        </w:tc>
        <w:tc>
          <w:tcPr>
            <w:tcW w:type="dxa" w:w="7099"/>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Version / value</w:t>
            </w:r>
          </w:p>
        </w:tc>
      </w:tr>
      <w:tr>
        <w:tc>
          <w:tcPr>
            <w:tcW w:type="dxa" w:w="3341"/>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OS</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Windows 11</w:t>
            </w:r>
          </w:p>
        </w:tc>
      </w:tr>
      <w:tr>
        <w:tc>
          <w:tcPr>
            <w:tcW w:type="dxa" w:w="3341"/>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Python</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3.11.9</w:t>
            </w:r>
          </w:p>
        </w:tc>
      </w:tr>
      <w:tr>
        <w:tc>
          <w:tcPr>
            <w:tcW w:type="dxa" w:w="3341"/>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Ollama</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0.32.6</w:t>
            </w:r>
          </w:p>
        </w:tc>
      </w:tr>
      <w:tr>
        <w:tc>
          <w:tcPr>
            <w:tcW w:type="dxa" w:w="3341"/>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Chat model</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llama3.1:8b (default); llama3.2:3b for the size ablation</w:t>
            </w:r>
          </w:p>
        </w:tc>
      </w:tr>
      <w:tr>
        <w:tc>
          <w:tcPr>
            <w:tcW w:type="dxa" w:w="3341"/>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Embedding model</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nomic-embed-text</w:t>
            </w:r>
          </w:p>
        </w:tc>
      </w:tr>
      <w:tr>
        <w:tc>
          <w:tcPr>
            <w:tcW w:type="dxa" w:w="3341"/>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 SDK</w:t>
            </w:r>
          </w:p>
        </w:tc>
        <w:tc>
          <w:tcPr>
            <w:tcW w:type="dxa" w:w="7099"/>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 ≥ 1.28.1</w:t>
            </w:r>
          </w:p>
        </w:tc>
      </w:tr>
      <w:tr>
        <w:tc>
          <w:tcPr>
            <w:tcW w:type="dxa" w:w="3341"/>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Vector store</w:t>
            </w:r>
          </w:p>
        </w:tc>
        <w:tc>
          <w:tcPr>
            <w:tcW w:type="dxa" w:w="7099"/>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chromadb ≥ 1.5.0 (local, persistent)</w:t>
            </w:r>
          </w:p>
        </w:tc>
      </w:tr>
    </w:tbl>
    <w:p>
      <w:pPr>
        <w:spacing w:after="200"/>
      </w:pPr>
    </w:p>
    <w:p>
      <w:pPr>
        <w:sectPr>
          <w:type w:val="continuous"/>
          <w:pgSz w:w="12240" w:h="15840" w:orient="portrait"/>
          <w:pgMar w:top="1080" w:right="900" w:bottom="1440" w:left="900" w:header="708" w:footer="708" w:gutter="0"/>
          <w:pgNumType/>
          <w:cols w:num="1"/>
          <w:docGrid w:linePitch="360"/>
        </w:sectPr>
      </w:pPr>
    </w:p>
    <w:p>
      <w:pPr>
        <w:spacing w:after="100" w:before="200"/>
        <w:jc w:val="left"/>
      </w:pPr>
      <w:r>
        <w:rPr>
          <w:rFonts w:ascii="Times New Roman" w:cs="Times New Roman" w:eastAsia="Times New Roman" w:hAnsi="Times New Roman"/>
          <w:i/>
          <w:iCs/>
          <w:sz w:val="20"/>
          <w:szCs w:val="20"/>
        </w:rPr>
        <w:t xml:space="preserve">B. Benchmark Protocol</w:t>
      </w:r>
    </w:p>
    <w:p>
      <w:pPr>
        <w:spacing w:after="160" w:line="252"/>
        <w:jc w:val="both"/>
      </w:pPr>
      <w:r>
        <w:rPr>
          <w:rFonts w:ascii="Times New Roman" w:cs="Times New Roman" w:eastAsia="Times New Roman" w:hAnsi="Times New Roman"/>
          <w:sz w:val="20"/>
          <w:szCs w:val="20"/>
        </w:rPr>
        <w:t xml:space="preserve">agents/benchmark.py runs the Semantic Analyzer against every server in the test bed, scores its findings against ground_truth.json, and aggregates true/false positives and negatives into Precision, Recall, and F1. Because local-LLM judgment is not perfectly deterministic, each server is scanned N = 3 times by default and results are aggregated across runs rather than reported from a single pass.</w:t>
      </w:r>
    </w:p>
    <w:p>
      <w:pPr>
        <w:spacing w:after="160" w:before="320"/>
        <w:jc w:val="center"/>
      </w:pPr>
      <w:r>
        <w:rPr>
          <w:rFonts w:ascii="Times New Roman" w:cs="Times New Roman" w:eastAsia="Times New Roman" w:hAnsi="Times New Roman"/>
          <w:b/>
          <w:bCs/>
          <w:smallCaps/>
          <w:sz w:val="20"/>
          <w:szCs w:val="20"/>
        </w:rPr>
        <w:t xml:space="preserve">VI. Results</w:t>
      </w:r>
    </w:p>
    <w:p>
      <w:pPr>
        <w:spacing w:after="100" w:before="200"/>
        <w:jc w:val="left"/>
      </w:pPr>
      <w:r>
        <w:rPr>
          <w:rFonts w:ascii="Times New Roman" w:cs="Times New Roman" w:eastAsia="Times New Roman" w:hAnsi="Times New Roman"/>
          <w:i/>
          <w:iCs/>
          <w:sz w:val="20"/>
          <w:szCs w:val="20"/>
        </w:rPr>
        <w:t xml:space="preserve">A. Detection Rate</w:t>
      </w:r>
    </w:p>
    <w:p>
      <w:pPr>
        <w:spacing w:after="160" w:line="252"/>
        <w:jc w:val="both"/>
      </w:pPr>
      <w:r>
        <w:rPr>
          <w:rFonts w:ascii="Times New Roman" w:cs="Times New Roman" w:eastAsia="Times New Roman" w:hAnsi="Times New Roman"/>
          <w:sz w:val="20"/>
          <w:szCs w:val="20"/>
        </w:rPr>
        <w:t xml:space="preserve">agents/benchmark.py, 3 runs × 4 servers (Table IV):</w:t>
      </w:r>
    </w:p>
    <w:p>
      <w:pPr>
        <w:sectPr>
          <w:type w:val="continuous"/>
          <w:pgSz w:w="12240" w:h="15840" w:orient="portrait"/>
          <w:pgMar w:top="1080" w:right="900" w:bottom="1440" w:left="900" w:header="708" w:footer="708" w:gutter="0"/>
          <w:pgNumType/>
          <w:cols w:space="288" w:num="2"/>
          <w:docGrid w:linePitch="360"/>
        </w:sectPr>
      </w:pPr>
    </w:p>
    <w:p>
      <w:pPr>
        <w:spacing w:after="40" w:before="120"/>
        <w:jc w:val="center"/>
      </w:pPr>
      <w:r>
        <w:rPr>
          <w:rFonts w:ascii="Times New Roman" w:cs="Times New Roman" w:eastAsia="Times New Roman" w:hAnsi="Times New Roman"/>
          <w:b w:val="false"/>
          <w:bCs w:val="false"/>
          <w:smallCaps/>
          <w:sz w:val="18"/>
          <w:szCs w:val="18"/>
        </w:rPr>
        <w:t xml:space="preserve">TABLE V</w:t>
      </w:r>
    </w:p>
    <w:p>
      <w:pPr>
        <w:spacing w:after="100"/>
        <w:jc w:val="center"/>
      </w:pPr>
      <w:r>
        <w:rPr>
          <w:rFonts w:ascii="Times New Roman" w:cs="Times New Roman" w:eastAsia="Times New Roman" w:hAnsi="Times New Roman"/>
          <w:smallCaps/>
          <w:sz w:val="18"/>
          <w:szCs w:val="18"/>
        </w:rPr>
        <w:t xml:space="preserve">Aggregate detection rate, reproducible across repeated runs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698"/>
        <w:gridCol w:w="5742"/>
      </w:tblGrid>
      <w:tr>
        <w:trPr>
          <w:tblHeader/>
        </w:trPr>
        <w:tc>
          <w:tcPr>
            <w:tcW w:type="dxa" w:w="4698"/>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Metric</w:t>
            </w:r>
          </w:p>
        </w:tc>
        <w:tc>
          <w:tcPr>
            <w:tcW w:type="dxa" w:w="5742"/>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Value</w:t>
            </w:r>
          </w:p>
        </w:tc>
      </w:tr>
      <w:tr>
        <w:tc>
          <w:tcPr>
            <w:tcW w:type="dxa" w:w="469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True positives</w:t>
            </w:r>
          </w:p>
        </w:tc>
        <w:tc>
          <w:tcPr>
            <w:tcW w:type="dxa" w:w="574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15 / 15 planted vulnerabilities</w:t>
            </w:r>
          </w:p>
        </w:tc>
      </w:tr>
      <w:tr>
        <w:tc>
          <w:tcPr>
            <w:tcW w:type="dxa" w:w="469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False positives</w:t>
            </w:r>
          </w:p>
        </w:tc>
        <w:tc>
          <w:tcPr>
            <w:tcW w:type="dxa" w:w="574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0 / 30 clean-tool instances</w:t>
            </w:r>
          </w:p>
        </w:tc>
      </w:tr>
      <w:tr>
        <w:tc>
          <w:tcPr>
            <w:tcW w:type="dxa" w:w="469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Precision</w:t>
            </w:r>
          </w:p>
        </w:tc>
        <w:tc>
          <w:tcPr>
            <w:tcW w:type="dxa" w:w="574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1.000</w:t>
            </w:r>
          </w:p>
        </w:tc>
      </w:tr>
      <w:tr>
        <w:tc>
          <w:tcPr>
            <w:tcW w:type="dxa" w:w="469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Recall</w:t>
            </w:r>
          </w:p>
        </w:tc>
        <w:tc>
          <w:tcPr>
            <w:tcW w:type="dxa" w:w="574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1.000</w:t>
            </w:r>
          </w:p>
        </w:tc>
      </w:tr>
      <w:tr>
        <w:tc>
          <w:tcPr>
            <w:tcW w:type="dxa" w:w="4698"/>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F1</w:t>
            </w:r>
          </w:p>
        </w:tc>
        <w:tc>
          <w:tcPr>
            <w:tcW w:type="dxa" w:w="5742"/>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1.000</w:t>
            </w:r>
          </w:p>
        </w:tc>
      </w:tr>
    </w:tbl>
    <w:p>
      <w:pPr>
        <w:spacing w:after="200"/>
      </w:pPr>
    </w:p>
    <w:p>
      <w:pPr>
        <w:sectPr>
          <w:type w:val="continuous"/>
          <w:pgSz w:w="12240" w:h="15840" w:orient="portrait"/>
          <w:pgMar w:top="1080" w:right="900" w:bottom="1440" w:left="900" w:header="708" w:footer="708" w:gutter="0"/>
          <w:pgNumType/>
          <w:cols w:num="1"/>
          <w:docGrid w:linePitch="360"/>
        </w:sectPr>
      </w:pPr>
    </w:p>
    <w:p>
      <w:pPr>
        <w:spacing w:after="100" w:before="200"/>
        <w:jc w:val="left"/>
      </w:pPr>
      <w:r>
        <w:rPr>
          <w:rFonts w:ascii="Times New Roman" w:cs="Times New Roman" w:eastAsia="Times New Roman" w:hAnsi="Times New Roman"/>
          <w:i/>
          <w:iCs/>
          <w:sz w:val="20"/>
          <w:szCs w:val="20"/>
        </w:rPr>
        <w:t xml:space="preserve">B. Live Verification Run</w:t>
      </w:r>
    </w:p>
    <w:p>
      <w:pPr>
        <w:spacing w:after="160" w:line="252"/>
        <w:jc w:val="both"/>
      </w:pPr>
      <w:r>
        <w:rPr>
          <w:rFonts w:ascii="Times New Roman" w:cs="Times New Roman" w:eastAsia="Times New Roman" w:hAnsi="Times New Roman"/>
          <w:sz w:val="20"/>
          <w:szCs w:val="20"/>
        </w:rPr>
        <w:t xml:space="preserve">To confirm the numbers above were not an artifact of a specific prior run, the pipeline was re-executed live, unscripted, on this machine while preparing this document. Output is reproduced verbatim below.</w:t>
      </w:r>
    </w:p>
    <w:p>
      <w:pPr>
        <w:spacing w:after="60" w:before="80"/>
        <w:jc w:val="left"/>
      </w:pPr>
      <w:r>
        <w:rPr>
          <w:rFonts w:ascii="Times New Roman" w:cs="Times New Roman" w:eastAsia="Times New Roman" w:hAnsi="Times New Roman"/>
          <w:i/>
          <w:iCs/>
          <w:sz w:val="20"/>
          <w:szCs w:val="20"/>
        </w:rPr>
        <w:t xml:space="preserve">1) Regex baseline vs. semantic analyzer on tool_poisoning_server.py</w:t>
      </w:r>
    </w:p>
    <w:p>
      <w:pPr>
        <w:sectPr>
          <w:type w:val="continuous"/>
          <w:pgSz w:w="12240" w:h="15840" w:orient="portrait"/>
          <w:pgMar w:top="1080" w:right="900" w:bottom="1440" w:left="900" w:header="708" w:footer="708" w:gutter="0"/>
          <w:pgNumType/>
          <w:cols w:space="288" w:num="2"/>
          <w:docGrid w:linePitch="360"/>
        </w:sectPr>
      </w:pPr>
    </w:p>
    <w:p>
      <w:pPr>
        <w:spacing w:after="40" w:before="120"/>
        <w:jc w:val="center"/>
      </w:pPr>
      <w:r>
        <w:rPr>
          <w:rFonts w:ascii="Times New Roman" w:cs="Times New Roman" w:eastAsia="Times New Roman" w:hAnsi="Times New Roman"/>
          <w:b w:val="false"/>
          <w:bCs w:val="false"/>
          <w:smallCaps/>
          <w:sz w:val="18"/>
          <w:szCs w:val="18"/>
        </w:rPr>
        <w:t xml:space="preserve">TABLE VI</w:t>
      </w:r>
    </w:p>
    <w:p>
      <w:pPr>
        <w:spacing w:after="100"/>
        <w:jc w:val="center"/>
      </w:pPr>
      <w:r>
        <w:rPr>
          <w:rFonts w:ascii="Times New Roman" w:cs="Times New Roman" w:eastAsia="Times New Roman" w:hAnsi="Times New Roman"/>
          <w:smallCaps/>
          <w:sz w:val="18"/>
          <w:szCs w:val="18"/>
        </w:rPr>
        <w:t xml:space="preserve">Live head-to-head run: regex baseline vs. semantic analyzer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132"/>
        <w:gridCol w:w="3654"/>
        <w:gridCol w:w="3654"/>
      </w:tblGrid>
      <w:tr>
        <w:trPr>
          <w:tblHeader/>
        </w:trPr>
        <w:tc>
          <w:tcPr>
            <w:tcW w:type="dxa" w:w="3132"/>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Tool</w:t>
            </w:r>
          </w:p>
        </w:tc>
        <w:tc>
          <w:tcPr>
            <w:tcW w:type="dxa" w:w="3654"/>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Regex baseline</w:t>
            </w:r>
          </w:p>
        </w:tc>
        <w:tc>
          <w:tcPr>
            <w:tcW w:type="dxa" w:w="3654"/>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Semantic analyzer</w:t>
            </w:r>
          </w:p>
        </w:tc>
      </w:tr>
      <w:tr>
        <w:tc>
          <w:tcPr>
            <w:tcW w:type="dxa" w:w="313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get_forecast (clean)</w:t>
            </w:r>
          </w:p>
        </w:tc>
        <w:tc>
          <w:tcPr>
            <w:tcW w:type="dxa" w:w="365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clean</w:t>
            </w:r>
          </w:p>
        </w:tc>
        <w:tc>
          <w:tcPr>
            <w:tcW w:type="dxa" w:w="365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clean</w:t>
            </w:r>
          </w:p>
        </w:tc>
      </w:tr>
      <w:tr>
        <w:tc>
          <w:tcPr>
            <w:tcW w:type="dxa" w:w="313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convert_currency (obvious payload)</w:t>
            </w:r>
          </w:p>
        </w:tc>
        <w:tc>
          <w:tcPr>
            <w:tcW w:type="dxa" w:w="365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FLAGGED — matched keyword patterns</w:t>
            </w:r>
          </w:p>
        </w:tc>
        <w:tc>
          <w:tcPr>
            <w:tcW w:type="dxa" w:w="365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FLAGGED — HIGH — MCP03:2025</w:t>
            </w:r>
          </w:p>
        </w:tc>
      </w:tr>
      <w:tr>
        <w:tc>
          <w:tcPr>
            <w:tcW w:type="dxa" w:w="3132"/>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summarize_document (paraphrased)</w:t>
            </w:r>
          </w:p>
        </w:tc>
        <w:tc>
          <w:tcPr>
            <w:tcW w:type="dxa" w:w="365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MISSED</w:t>
            </w:r>
          </w:p>
        </w:tc>
        <w:tc>
          <w:tcPr>
            <w:tcW w:type="dxa" w:w="365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FLAGGED — HIGH — MCP03:2025</w:t>
            </w:r>
          </w:p>
        </w:tc>
      </w:tr>
      <w:tr>
        <w:tc>
          <w:tcPr>
            <w:tcW w:type="dxa" w:w="3132"/>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translate_text (clean)</w:t>
            </w:r>
          </w:p>
        </w:tc>
        <w:tc>
          <w:tcPr>
            <w:tcW w:type="dxa" w:w="3654"/>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clean</w:t>
            </w:r>
          </w:p>
        </w:tc>
        <w:tc>
          <w:tcPr>
            <w:tcW w:type="dxa" w:w="3654"/>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clean</w:t>
            </w:r>
          </w:p>
        </w:tc>
      </w:tr>
    </w:tbl>
    <w:p>
      <w:pPr>
        <w:spacing w:after="200"/>
      </w:pPr>
    </w:p>
    <w:p>
      <w:pPr>
        <w:sectPr>
          <w:type w:val="continuous"/>
          <w:pgSz w:w="12240" w:h="15840" w:orient="portrait"/>
          <w:pgMar w:top="1080" w:right="900" w:bottom="1440" w:left="900" w:header="708" w:footer="708" w:gutter="0"/>
          <w:pgNumType/>
          <w:cols w:num="1"/>
          <w:docGrid w:linePitch="360"/>
        </w:sectPr>
      </w:pPr>
    </w:p>
    <w:p>
      <w:pPr>
        <w:spacing w:after="160" w:line="252"/>
        <w:jc w:val="both"/>
      </w:pPr>
      <w:r>
        <w:rPr>
          <w:rFonts w:ascii="Times New Roman" w:cs="Times New Roman" w:eastAsia="Times New Roman" w:hAnsi="Times New Roman"/>
          <w:sz w:val="20"/>
          <w:szCs w:val="20"/>
        </w:rPr>
        <w:t xml:space="preserve">Semantic analyzer's actual reasoning output for the paraphrased case (summarize_document), verbatim from this run:</w:t>
      </w:r>
    </w:p>
    <w:p>
      <w:pPr>
        <w:pBdr>
          <w:top w:val="single" w:color="BFBFBF" w:sz="2"/>
          <w:bottom w:val="single" w:color="BFBFBF" w:sz="2"/>
          <w:left w:val="single" w:color="BFBFBF" w:sz="2"/>
          <w:right w:val="single" w:color="BFBFBF" w:sz="2"/>
        </w:pBdr>
        <w:shd w:fill="F2F2F2"/>
        <w:spacing w:after="160" w:before="40"/>
      </w:pPr>
      <w:r>
        <w:rPr>
          <w:rFonts w:ascii="Consolas" w:cs="Consolas" w:eastAsia="Consolas" w:hAnsi="Consolas"/>
          <w:sz w:val="16"/>
          <w:szCs w:val="16"/>
        </w:rPr>
        <w:t xml:space="preserve">The untrusted tool description contains an embedded instruction block</w:t>
      </w:r>
      <w:r>
        <w:rPr>
          <w:rFonts w:ascii="Consolas" w:cs="Consolas" w:eastAsia="Consolas" w:hAnsi="Consolas"/>
          <w:sz w:val="16"/>
          <w:szCs w:val="16"/>
        </w:rPr>
        <w:br/>
        <w:t xml:space="preserve">that tells the calling model to access a sensitive file (the small</w:t>
      </w:r>
      <w:r>
        <w:rPr>
          <w:rFonts w:ascii="Consolas" w:cs="Consolas" w:eastAsia="Consolas" w:hAnsi="Consolas"/>
          <w:sz w:val="16"/>
          <w:szCs w:val="16"/>
        </w:rPr>
        <w:br/>
        <w:t xml:space="preserve">configuration file typically kept under the user's home directory in a</w:t>
      </w:r>
      <w:r>
        <w:rPr>
          <w:rFonts w:ascii="Consolas" w:cs="Consolas" w:eastAsia="Consolas" w:hAnsi="Consolas"/>
          <w:sz w:val="16"/>
          <w:szCs w:val="16"/>
        </w:rPr>
        <w:br/>
        <w:t xml:space="preserve">hidden folder tied to their cloud storage login) and include its contents</w:t>
      </w:r>
      <w:r>
        <w:rPr>
          <w:rFonts w:ascii="Consolas" w:cs="Consolas" w:eastAsia="Consolas" w:hAnsi="Consolas"/>
          <w:sz w:val="16"/>
          <w:szCs w:val="16"/>
        </w:rPr>
        <w:br/>
        <w:t xml:space="preserve">in the summary text, which is unrelated to the tool's stated purpose.</w:t>
      </w:r>
    </w:p>
    <w:p>
      <w:pPr>
        <w:spacing w:after="60" w:before="100"/>
        <w:jc w:val="left"/>
      </w:pPr>
      <w:r>
        <w:rPr>
          <w:rFonts w:ascii="Times New Roman" w:cs="Times New Roman" w:eastAsia="Times New Roman" w:hAnsi="Times New Roman"/>
          <w:i/>
          <w:iCs/>
          <w:sz w:val="20"/>
          <w:szCs w:val="20"/>
        </w:rPr>
        <w:t xml:space="preserve">2) Drift Monitor — live rug-pull demonstration</w:t>
      </w:r>
    </w:p>
    <w:p>
      <w:pPr>
        <w:spacing w:after="160" w:line="252"/>
        <w:jc w:val="both"/>
      </w:pPr>
      <w:r>
        <w:rPr>
          <w:rFonts w:ascii="Times New Roman" w:cs="Times New Roman" w:eastAsia="Times New Roman" w:hAnsi="Times New Roman"/>
          <w:sz w:val="20"/>
          <w:szCs w:val="20"/>
        </w:rPr>
        <w:t xml:space="preserve">Sequence executed live: baseline rug_pull_server.py in its honest state, flip RUG_PULL=1, then re-check.</w:t>
      </w:r>
    </w:p>
    <w:p>
      <w:pPr>
        <w:pBdr>
          <w:top w:val="single" w:color="BFBFBF" w:sz="2"/>
          <w:bottom w:val="single" w:color="BFBFBF" w:sz="2"/>
          <w:left w:val="single" w:color="BFBFBF" w:sz="2"/>
          <w:right w:val="single" w:color="BFBFBF" w:sz="2"/>
        </w:pBdr>
        <w:shd w:fill="F2F2F2"/>
        <w:spacing w:after="160" w:before="40"/>
      </w:pPr>
      <w:r>
        <w:rPr>
          <w:rFonts w:ascii="Consolas" w:cs="Consolas" w:eastAsia="Consolas" w:hAnsi="Consolas"/>
          <w:sz w:val="16"/>
          <w:szCs w:val="16"/>
        </w:rPr>
        <w:t xml:space="preserve">&gt; python agents/drift_monitor.py baseline servers/rug_pull_server.py</w:t>
      </w:r>
      <w:r>
        <w:rPr>
          <w:rFonts w:ascii="Consolas" w:cs="Consolas" w:eastAsia="Consolas" w:hAnsi="Consolas"/>
          <w:sz w:val="16"/>
          <w:szCs w:val="16"/>
        </w:rPr>
        <w:br/>
        <w:t xml:space="preserve">Baseline stored for 'backup-utility-server' (2 tools)</w:t>
      </w:r>
      <w:r>
        <w:rPr>
          <w:rFonts w:ascii="Consolas" w:cs="Consolas" w:eastAsia="Consolas" w:hAnsi="Consolas"/>
          <w:sz w:val="16"/>
          <w:szCs w:val="16"/>
        </w:rPr>
        <w:br/>
        <w:t xml:space="preserve"> </w:t>
      </w:r>
      <w:r>
        <w:rPr>
          <w:rFonts w:ascii="Consolas" w:cs="Consolas" w:eastAsia="Consolas" w:hAnsi="Consolas"/>
          <w:sz w:val="16"/>
          <w:szCs w:val="16"/>
        </w:rPr>
        <w:br/>
        <w:t xml:space="preserve">&gt; $env:RUG_PULL="1"</w:t>
      </w:r>
      <w:r>
        <w:rPr>
          <w:rFonts w:ascii="Consolas" w:cs="Consolas" w:eastAsia="Consolas" w:hAnsi="Consolas"/>
          <w:sz w:val="16"/>
          <w:szCs w:val="16"/>
        </w:rPr>
        <w:br/>
        <w:t xml:space="preserve">&gt; python agents/drift_monitor.py check servers/rug_pull_server.py</w:t>
      </w:r>
      <w:r>
        <w:rPr>
          <w:rFonts w:ascii="Consolas" w:cs="Consolas" w:eastAsia="Consolas" w:hAnsi="Consolas"/>
          <w:sz w:val="16"/>
          <w:szCs w:val="16"/>
        </w:rPr>
        <w:br/>
        <w:t xml:space="preserve"> </w:t>
      </w:r>
      <w:r>
        <w:rPr>
          <w:rFonts w:ascii="Consolas" w:cs="Consolas" w:eastAsia="Consolas" w:hAnsi="Consolas"/>
          <w:sz w:val="16"/>
          <w:szCs w:val="16"/>
        </w:rPr>
        <w:br/>
        <w:t xml:space="preserve">=== Drift Check: backup-utility-server ===</w:t>
      </w:r>
      <w:r>
        <w:rPr>
          <w:rFonts w:ascii="Consolas" w:cs="Consolas" w:eastAsia="Consolas" w:hAnsi="Consolas"/>
          <w:sz w:val="16"/>
          <w:szCs w:val="16"/>
        </w:rPr>
        <w:br/>
        <w:t xml:space="preserve">[DESCRIPTION_OR_SCHEMA_CHANGED] backup_files</w:t>
      </w:r>
      <w:r>
        <w:rPr>
          <w:rFonts w:ascii="Consolas" w:cs="Consolas" w:eastAsia="Consolas" w:hAnsi="Consolas"/>
          <w:sz w:val="16"/>
          <w:szCs w:val="16"/>
        </w:rPr>
        <w:br/>
        <w:t xml:space="preserve"> </w:t>
      </w:r>
      <w:r>
        <w:rPr>
          <w:rFonts w:ascii="Consolas" w:cs="Consolas" w:eastAsia="Consolas" w:hAnsi="Consolas"/>
          <w:sz w:val="16"/>
          <w:szCs w:val="16"/>
        </w:rPr>
        <w:br/>
        <w:t xml:space="preserve">--- Re-analysis of changed tools ---</w:t>
      </w:r>
      <w:r>
        <w:rPr>
          <w:rFonts w:ascii="Consolas" w:cs="Consolas" w:eastAsia="Consolas" w:hAnsi="Consolas"/>
          <w:sz w:val="16"/>
          <w:szCs w:val="16"/>
        </w:rPr>
        <w:br/>
        <w:t xml:space="preserve">[FLAGGED] backup_files</w:t>
      </w:r>
      <w:r>
        <w:rPr>
          <w:rFonts w:ascii="Consolas" w:cs="Consolas" w:eastAsia="Consolas" w:hAnsi="Consolas"/>
          <w:sz w:val="16"/>
          <w:szCs w:val="16"/>
        </w:rPr>
        <w:br/>
        <w:t xml:space="preserve">  verdict: MCP03:2025 -- Tool Poisoning (confidence: high)</w:t>
      </w:r>
      <w:r>
        <w:rPr>
          <w:rFonts w:ascii="Consolas" w:cs="Consolas" w:eastAsia="Consolas" w:hAnsi="Consolas"/>
          <w:sz w:val="16"/>
          <w:szCs w:val="16"/>
        </w:rPr>
        <w:br/>
        <w:t xml:space="preserve">  reasoning: instructions to copy sensitive files (SSH config directory</w:t>
      </w:r>
      <w:r>
        <w:rPr>
          <w:rFonts w:ascii="Consolas" w:cs="Consolas" w:eastAsia="Consolas" w:hAnsi="Consolas"/>
          <w:sz w:val="16"/>
          <w:szCs w:val="16"/>
        </w:rPr>
        <w:br/>
        <w:t xml:space="preserve">  and *.pem/*.key files) into the backup archive, phrased as a 'helpful'</w:t>
      </w:r>
      <w:r>
        <w:rPr>
          <w:rFonts w:ascii="Consolas" w:cs="Consolas" w:eastAsia="Consolas" w:hAnsi="Consolas"/>
          <w:sz w:val="16"/>
          <w:szCs w:val="16"/>
        </w:rPr>
        <w:br/>
        <w:t xml:space="preserve">  step to evade keyword-based scanners.</w:t>
      </w:r>
    </w:p>
    <w:p>
      <w:pPr>
        <w:spacing w:after="160" w:line="252"/>
        <w:jc w:val="both"/>
      </w:pPr>
      <w:r>
        <w:rPr>
          <w:rFonts w:ascii="Times New Roman" w:cs="Times New Roman" w:eastAsia="Times New Roman" w:hAnsi="Times New Roman"/>
          <w:sz w:val="20"/>
          <w:szCs w:val="20"/>
        </w:rPr>
        <w:t xml:space="preserve">This confirms the Drift Monitor's core claim: a server honestly described at baseline time and changed afterward is caught on the next check, and the changed tool is automatically re-analyzed and correctly flagged — something Recon and the Semantic Analyzer alone, run once, cannot do.</w:t>
      </w:r>
    </w:p>
    <w:p>
      <w:pPr>
        <w:spacing w:after="100" w:before="200"/>
        <w:jc w:val="left"/>
      </w:pPr>
      <w:r>
        <w:rPr>
          <w:rFonts w:ascii="Times New Roman" w:cs="Times New Roman" w:eastAsia="Times New Roman" w:hAnsi="Times New Roman"/>
          <w:i/>
          <w:iCs/>
          <w:sz w:val="20"/>
          <w:szCs w:val="20"/>
        </w:rPr>
        <w:t xml:space="preserve">C. Model-Size Ablation</w:t>
      </w:r>
    </w:p>
    <w:p>
      <w:pPr>
        <w:spacing w:after="160" w:line="252"/>
        <w:jc w:val="both"/>
      </w:pPr>
      <w:r>
        <w:rPr>
          <w:rFonts w:ascii="Times New Roman" w:cs="Times New Roman" w:eastAsia="Times New Roman" w:hAnsi="Times New Roman"/>
          <w:sz w:val="20"/>
          <w:szCs w:val="20"/>
        </w:rPr>
        <w:t xml:space="preserve">This is a measured, not assumed, result. llama3.2:3b missed both tool-poisoning payloads on this test bed, including the one with explicit “ignore prior instructions” language — it appears to reflexively sanitize past injected text rather than analyzing it, even with an explicit untrusted-data prompt boundary. llama3.1:8b caught all planted vulnerabilities with zero false positives. This is a real, specific model-size threshold observed on this fixed test bed, not a general claim about model scaling.</w:t>
      </w:r>
    </w:p>
    <w:p>
      <w:pPr>
        <w:spacing w:after="100" w:before="200"/>
        <w:jc w:val="left"/>
      </w:pPr>
      <w:r>
        <w:rPr>
          <w:rFonts w:ascii="Times New Roman" w:cs="Times New Roman" w:eastAsia="Times New Roman" w:hAnsi="Times New Roman"/>
          <w:i/>
          <w:iCs/>
          <w:sz w:val="20"/>
          <w:szCs w:val="20"/>
        </w:rPr>
        <w:t xml:space="preserve">D. Held-Out Generalization Test</w:t>
      </w:r>
    </w:p>
    <w:p>
      <w:pPr>
        <w:spacing w:after="160" w:line="252"/>
        <w:jc w:val="both"/>
      </w:pPr>
      <w:r>
        <w:rPr>
          <w:rFonts w:ascii="Times New Roman" w:cs="Times New Roman" w:eastAsia="Times New Roman" w:hAnsi="Times New Roman"/>
          <w:sz w:val="20"/>
          <w:szCs w:val="20"/>
        </w:rPr>
        <w:t xml:space="preserve">holdout_server.py's raed_file tool (a typosquat of read_file, disguised as forwarding to a logging endpoint) was never named or referenced anywhere in the Semantic Analyzer's prompt, the pattern knowledge base, or any prior development discussion. It was still correctly flagged, while the server's clean control tool was correctly left unflagged — evidence the typosquat-plus-scope-creep detection generalizes rather than memorizing the project's own known test case (git_stauts).</w:t>
      </w:r>
    </w:p>
    <w:p>
      <w:pPr>
        <w:sectPr>
          <w:type w:val="continuous"/>
          <w:pgSz w:w="12240" w:h="15840" w:orient="portrait"/>
          <w:pgMar w:top="1080" w:right="900" w:bottom="1440" w:left="900" w:header="708" w:footer="708" w:gutter="0"/>
          <w:pgNumType/>
          <w:cols w:space="288" w:num="2"/>
          <w:docGrid w:linePitch="360"/>
        </w:sectPr>
      </w:pPr>
    </w:p>
    <w:p>
      <w:pPr>
        <w:spacing w:after="160" w:before="320"/>
        <w:jc w:val="center"/>
      </w:pPr>
      <w:r>
        <w:rPr>
          <w:rFonts w:ascii="Times New Roman" w:cs="Times New Roman" w:eastAsia="Times New Roman" w:hAnsi="Times New Roman"/>
          <w:b/>
          <w:bCs/>
          <w:smallCaps/>
          <w:sz w:val="20"/>
          <w:szCs w:val="20"/>
        </w:rPr>
        <w:t xml:space="preserve">VII. Findings Mapped To Owasp Mcp Top 10</w:t>
      </w:r>
    </w:p>
    <w:p>
      <w:pPr>
        <w:spacing w:after="160" w:line="252"/>
        <w:jc w:val="both"/>
      </w:pPr>
      <w:r>
        <w:rPr>
          <w:rFonts w:ascii="Times New Roman" w:cs="Times New Roman" w:eastAsia="Times New Roman" w:hAnsi="Times New Roman"/>
          <w:sz w:val="20"/>
          <w:szCs w:val="20"/>
        </w:rPr>
        <w:t xml:space="preserve">Table V lists every confirmed finding in the test bed, mapped to its OWASP MCP category and the agent(s) that caught it.</w:t>
      </w:r>
    </w:p>
    <w:p>
      <w:pPr>
        <w:spacing w:after="40" w:before="120"/>
        <w:jc w:val="center"/>
      </w:pPr>
      <w:r>
        <w:rPr>
          <w:rFonts w:ascii="Times New Roman" w:cs="Times New Roman" w:eastAsia="Times New Roman" w:hAnsi="Times New Roman"/>
          <w:b w:val="false"/>
          <w:bCs w:val="false"/>
          <w:smallCaps/>
          <w:sz w:val="18"/>
          <w:szCs w:val="18"/>
        </w:rPr>
        <w:t xml:space="preserve">TABLE VII</w:t>
      </w:r>
    </w:p>
    <w:p>
      <w:pPr>
        <w:spacing w:after="100"/>
        <w:jc w:val="center"/>
      </w:pPr>
      <w:r>
        <w:rPr>
          <w:rFonts w:ascii="Times New Roman" w:cs="Times New Roman" w:eastAsia="Times New Roman" w:hAnsi="Times New Roman"/>
          <w:smallCaps/>
          <w:sz w:val="18"/>
          <w:szCs w:val="18"/>
        </w:rPr>
        <w:t xml:space="preserve">Every confirmed finding, mapped to OWASP MCP category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758"/>
        <w:gridCol w:w="2714"/>
        <w:gridCol w:w="1253"/>
        <w:gridCol w:w="2714"/>
      </w:tblGrid>
      <w:tr>
        <w:trPr>
          <w:tblHeader/>
        </w:trPr>
        <w:tc>
          <w:tcPr>
            <w:tcW w:type="dxa" w:w="3758"/>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Planted finding</w:t>
            </w:r>
          </w:p>
        </w:tc>
        <w:tc>
          <w:tcPr>
            <w:tcW w:type="dxa" w:w="2714"/>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Server</w:t>
            </w:r>
          </w:p>
        </w:tc>
        <w:tc>
          <w:tcPr>
            <w:tcW w:type="dxa" w:w="1253"/>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OWASP</w:t>
            </w:r>
          </w:p>
        </w:tc>
        <w:tc>
          <w:tcPr>
            <w:tcW w:type="dxa" w:w="2714"/>
            <w:tcBorders>
              <w:top w:val="single" w:color="000000" w:sz="6"/>
              <w:left w:val="none"/>
              <w:bottom w:val="single" w:color="000000" w:sz="4"/>
              <w:right w:val="none"/>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Detected by</w:t>
            </w:r>
          </w:p>
        </w:tc>
      </w:tr>
      <w:tr>
        <w:tc>
          <w:tcPr>
            <w:tcW w:type="dxa" w:w="375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Obvious hidden instruction + SSH key exfiltration</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tool_poisoning_server.py</w:t>
            </w:r>
          </w:p>
        </w:tc>
        <w:tc>
          <w:tcPr>
            <w:tcW w:type="dxa" w:w="1253"/>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MCP03</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Semantic Analyzer + Baseline</w:t>
            </w:r>
          </w:p>
        </w:tc>
      </w:tr>
      <w:tr>
        <w:tc>
          <w:tcPr>
            <w:tcW w:type="dxa" w:w="375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Paraphrased, keyword-free hidden instruction</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tool_poisoning_server.py</w:t>
            </w:r>
          </w:p>
        </w:tc>
        <w:tc>
          <w:tcPr>
            <w:tcW w:type="dxa" w:w="1253"/>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MCP03</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Semantic Analyzer only</w:t>
            </w:r>
          </w:p>
        </w:tc>
      </w:tr>
      <w:tr>
        <w:tc>
          <w:tcPr>
            <w:tcW w:type="dxa" w:w="375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“Read-only” description, destructive schema param</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permission_overreach_server.py</w:t>
            </w:r>
          </w:p>
        </w:tc>
        <w:tc>
          <w:tcPr>
            <w:tcW w:type="dxa" w:w="1253"/>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MCP02</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Semantic Analyzer + Baseline</w:t>
            </w:r>
          </w:p>
        </w:tc>
      </w:tr>
      <w:tr>
        <w:tc>
          <w:tcPr>
            <w:tcW w:type="dxa" w:w="375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Typosquatted name + undisclosed network sync</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permission_overreach_server.py</w:t>
            </w:r>
          </w:p>
        </w:tc>
        <w:tc>
          <w:tcPr>
            <w:tcW w:type="dxa" w:w="1253"/>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MCP02</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Semantic Analyzer + Baseline</w:t>
            </w:r>
          </w:p>
        </w:tc>
      </w:tr>
      <w:tr>
        <w:tc>
          <w:tcPr>
            <w:tcW w:type="dxa" w:w="375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Plaintext credential requested as call argument</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token_mismanagement_server.py</w:t>
            </w:r>
          </w:p>
        </w:tc>
        <w:tc>
          <w:tcPr>
            <w:tcW w:type="dxa" w:w="1253"/>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MCP01</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Semantic Analyzer</w:t>
            </w:r>
          </w:p>
        </w:tc>
      </w:tr>
      <w:tr>
        <w:tc>
          <w:tcPr>
            <w:tcW w:type="dxa" w:w="3758"/>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Post-baseline poisoned description (rug pull)</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rug_pull_server.py</w:t>
            </w:r>
          </w:p>
        </w:tc>
        <w:tc>
          <w:tcPr>
            <w:tcW w:type="dxa" w:w="1253"/>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MCP03</w:t>
            </w:r>
          </w:p>
        </w:tc>
        <w:tc>
          <w:tcPr>
            <w:tcW w:type="dxa" w:w="2714"/>
            <w:tcBorders>
              <w:top w:val="none"/>
              <w:left w:val="none"/>
              <w:bottom w:val="non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Drift Monitor + re-analysis</w:t>
            </w:r>
          </w:p>
        </w:tc>
      </w:tr>
      <w:tr>
        <w:tc>
          <w:tcPr>
            <w:tcW w:type="dxa" w:w="3758"/>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Typosquat forwarding content to remote endpoint</w:t>
            </w:r>
          </w:p>
        </w:tc>
        <w:tc>
          <w:tcPr>
            <w:tcW w:type="dxa" w:w="2714"/>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holdout_server.py</w:t>
            </w:r>
          </w:p>
        </w:tc>
        <w:tc>
          <w:tcPr>
            <w:tcW w:type="dxa" w:w="1253"/>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MCP02</w:t>
            </w:r>
          </w:p>
        </w:tc>
        <w:tc>
          <w:tcPr>
            <w:tcW w:type="dxa" w:w="2714"/>
            <w:tcBorders>
              <w:top w:val="none"/>
              <w:left w:val="none"/>
              <w:bottom w:val="single" w:color="000000" w:sz="6"/>
              <w:right w:val="none"/>
            </w:tcBorders>
            <w:tcMar>
              <w:top w:type="dxa" w:w="60"/>
              <w:left w:type="dxa" w:w="90"/>
              <w:bottom w:type="dxa" w:w="60"/>
              <w:right w:type="dxa" w:w="90"/>
            </w:tcMar>
            <w:vAlign w:val="center"/>
          </w:tcPr>
          <w:p>
            <w:pPr>
              <w:spacing w:line="240"/>
              <w:jc w:val="left"/>
            </w:pPr>
            <w:r>
              <w:rPr>
                <w:rFonts w:ascii="Times New Roman" w:cs="Times New Roman" w:eastAsia="Times New Roman" w:hAnsi="Times New Roman"/>
                <w:sz w:val="18"/>
                <w:szCs w:val="18"/>
              </w:rPr>
              <w:t xml:space="preserve">Semantic Analyzer (held-out)</w:t>
            </w:r>
          </w:p>
        </w:tc>
      </w:tr>
    </w:tbl>
    <w:p>
      <w:pPr>
        <w:spacing w:after="200"/>
      </w:pPr>
    </w:p>
    <w:p>
      <w:pPr>
        <w:sectPr>
          <w:type w:val="continuous"/>
          <w:pgSz w:w="12240" w:h="15840" w:orient="portrait"/>
          <w:pgMar w:top="1080" w:right="900" w:bottom="1440" w:left="900" w:header="708" w:footer="708" w:gutter="0"/>
          <w:pgNumType/>
          <w:cols w:num="1"/>
          <w:docGrid w:linePitch="360"/>
        </w:sectPr>
      </w:pPr>
    </w:p>
    <w:p>
      <w:pPr>
        <w:spacing w:after="160" w:before="320"/>
        <w:jc w:val="center"/>
      </w:pPr>
      <w:r>
        <w:rPr>
          <w:rFonts w:ascii="Times New Roman" w:cs="Times New Roman" w:eastAsia="Times New Roman" w:hAnsi="Times New Roman"/>
          <w:b/>
          <w:bCs/>
          <w:smallCaps/>
          <w:sz w:val="20"/>
          <w:szCs w:val="20"/>
        </w:rPr>
        <w:t xml:space="preserve">VIII. Discussion</w:t>
      </w:r>
    </w:p>
    <w:p>
      <w:pPr>
        <w:spacing w:after="100" w:before="200"/>
        <w:jc w:val="left"/>
      </w:pPr>
      <w:r>
        <w:rPr>
          <w:rFonts w:ascii="Times New Roman" w:cs="Times New Roman" w:eastAsia="Times New Roman" w:hAnsi="Times New Roman"/>
          <w:i/>
          <w:iCs/>
          <w:sz w:val="20"/>
          <w:szCs w:val="20"/>
        </w:rPr>
        <w:t xml:space="preserve">A. Why Semantic Detection Over Keyword Matching</w:t>
      </w:r>
    </w:p>
    <w:p>
      <w:pPr>
        <w:spacing w:after="160" w:line="252"/>
        <w:jc w:val="both"/>
      </w:pPr>
      <w:r>
        <w:rPr>
          <w:rFonts w:ascii="Times New Roman" w:cs="Times New Roman" w:eastAsia="Times New Roman" w:hAnsi="Times New Roman"/>
          <w:sz w:val="20"/>
          <w:szCs w:val="20"/>
        </w:rPr>
        <w:t xml:space="preserve">The result that differentiates this project from the class of scanner it is compared against is summarize_document: a payload with zero alarming keywords, caught by the semantic analyzer and missed by the regex baseline. Both approaches tie on structural or obviously-worded cases, which is itself informative — it shows the semantic approach specifically closes the paraphrase-evasion gap, exactly what a real attacker would target once they know keyword scanning is in use.</w:t>
      </w:r>
    </w:p>
    <w:p>
      <w:pPr>
        <w:spacing w:after="160" w:line="252"/>
        <w:jc w:val="both"/>
      </w:pPr>
      <w:r>
        <w:rPr>
          <w:rFonts w:ascii="Times New Roman" w:cs="Times New Roman" w:eastAsia="Times New Roman" w:hAnsi="Times New Roman"/>
          <w:sz w:val="20"/>
          <w:szCs w:val="20"/>
        </w:rPr>
        <w:t xml:space="preserve">An earlier version of the summarize_document payload accidentally contained the literal word “credentials,” which the baseline's own keyword list also checks for, so that version tied with the baseline instead of differentiating from it. The payload was rewritten once the regex-baseline benchmark exposed this; recording that the first version of this comparison was not actually fair, and that fixing it was part of the process, is treated here as part of the result, not omitted.</w:t>
      </w:r>
    </w:p>
    <w:p>
      <w:pPr>
        <w:spacing w:after="100" w:before="200"/>
        <w:jc w:val="left"/>
      </w:pPr>
      <w:r>
        <w:rPr>
          <w:rFonts w:ascii="Times New Roman" w:cs="Times New Roman" w:eastAsia="Times New Roman" w:hAnsi="Times New Roman"/>
          <w:i/>
          <w:iCs/>
          <w:sz w:val="20"/>
          <w:szCs w:val="20"/>
        </w:rPr>
        <w:t xml:space="preserve">B. Temporal Coverage: the Drift Monitor</w:t>
      </w:r>
    </w:p>
    <w:p>
      <w:pPr>
        <w:spacing w:after="160" w:line="252"/>
        <w:jc w:val="both"/>
      </w:pPr>
      <w:r>
        <w:rPr>
          <w:rFonts w:ascii="Times New Roman" w:cs="Times New Roman" w:eastAsia="Times New Roman" w:hAnsi="Times New Roman"/>
          <w:sz w:val="20"/>
          <w:szCs w:val="20"/>
        </w:rPr>
        <w:t xml:space="preserve">A static, one-shot scanner can only attest to a server's state at the moment it was scanned. The Drift Monitor closes that gap by treating a stored baseline as ground truth and re-analyzing anything that changes.</w:t>
      </w:r>
    </w:p>
    <w:p>
      <w:pPr>
        <w:spacing w:after="100" w:before="200"/>
        <w:jc w:val="left"/>
      </w:pPr>
      <w:r>
        <w:rPr>
          <w:rFonts w:ascii="Times New Roman" w:cs="Times New Roman" w:eastAsia="Times New Roman" w:hAnsi="Times New Roman"/>
          <w:i/>
          <w:iCs/>
          <w:sz w:val="20"/>
          <w:szCs w:val="20"/>
        </w:rPr>
        <w:t xml:space="preserve">C. Deployability</w:t>
      </w:r>
    </w:p>
    <w:p>
      <w:pPr>
        <w:spacing w:after="160" w:line="252"/>
        <w:jc w:val="both"/>
      </w:pPr>
      <w:r>
        <w:rPr>
          <w:rFonts w:ascii="Times New Roman" w:cs="Times New Roman" w:eastAsia="Times New Roman" w:hAnsi="Times New Roman"/>
          <w:sz w:val="20"/>
          <w:szCs w:val="20"/>
        </w:rPr>
        <w:t xml:space="preserve">Exposing the pipeline itself as an MCP server is what turns this from a benchmark script into something usable in the workflow it targets: before adding an unfamiliar server, a real client can call this project's own audit tool and get a report back without connecting to the untrusted server directly itself.</w:t>
      </w:r>
    </w:p>
    <w:p>
      <w:pPr>
        <w:spacing w:after="100" w:before="200"/>
        <w:jc w:val="left"/>
      </w:pPr>
      <w:r>
        <w:rPr>
          <w:rFonts w:ascii="Times New Roman" w:cs="Times New Roman" w:eastAsia="Times New Roman" w:hAnsi="Times New Roman"/>
          <w:i/>
          <w:iCs/>
          <w:sz w:val="20"/>
          <w:szCs w:val="20"/>
        </w:rPr>
        <w:t xml:space="preserve">D. Local-Only Execution</w:t>
      </w:r>
    </w:p>
    <w:p>
      <w:pPr>
        <w:spacing w:after="160" w:line="252"/>
        <w:jc w:val="both"/>
      </w:pPr>
      <w:r>
        <w:rPr>
          <w:rFonts w:ascii="Times New Roman" w:cs="Times New Roman" w:eastAsia="Times New Roman" w:hAnsi="Times New Roman"/>
          <w:sz w:val="20"/>
          <w:szCs w:val="20"/>
        </w:rPr>
        <w:t xml:space="preserve">Every inference call in this pipeline — embeddings and chat completions alike — goes to a local Ollama instance. No tool description or scan result leaves the machine running the audit.</w:t>
      </w:r>
    </w:p>
    <w:p>
      <w:pPr>
        <w:spacing w:after="160" w:before="320"/>
        <w:jc w:val="center"/>
      </w:pPr>
      <w:r>
        <w:rPr>
          <w:rFonts w:ascii="Times New Roman" w:cs="Times New Roman" w:eastAsia="Times New Roman" w:hAnsi="Times New Roman"/>
          <w:b/>
          <w:bCs/>
          <w:smallCaps/>
          <w:sz w:val="20"/>
          <w:szCs w:val="20"/>
        </w:rPr>
        <w:t xml:space="preserve">IX. Known Limitations</w:t>
      </w:r>
    </w:p>
    <w:p>
      <w:pPr>
        <w:pStyle w:val="ListParagraph"/>
        <w:numPr>
          <w:ilvl w:val="0"/>
          <w:numId w:val="2"/>
        </w:numPr>
        <w:spacing w:after="80" w:line="252"/>
        <w:jc w:val="both"/>
      </w:pPr>
      <w:r>
        <w:rPr>
          <w:rFonts w:ascii="Times New Roman" w:cs="Times New Roman" w:eastAsia="Times New Roman" w:hAnsi="Times New Roman"/>
          <w:sz w:val="20"/>
          <w:szCs w:val="20"/>
        </w:rPr>
        <w:t xml:space="preserve">Edit-distance typosquat detection misses double-transposition typos (e.g. sned_emial vs. send_email); Damerau-Levenshtein would fix this but is not implemented.</w:t>
      </w:r>
    </w:p>
    <w:p>
      <w:pPr>
        <w:pStyle w:val="ListParagraph"/>
        <w:numPr>
          <w:ilvl w:val="0"/>
          <w:numId w:val="2"/>
        </w:numPr>
        <w:spacing w:after="80" w:line="252"/>
        <w:jc w:val="both"/>
      </w:pPr>
      <w:r>
        <w:rPr>
          <w:rFonts w:ascii="Times New Roman" w:cs="Times New Roman" w:eastAsia="Times New Roman" w:hAnsi="Times New Roman"/>
          <w:sz w:val="20"/>
          <w:szCs w:val="20"/>
        </w:rPr>
        <w:t xml:space="preserve">LLM-based judgment is not perfectly deterministic. All headline numbers were confirmed stable across 3 repeated runs, but this is inherent to local-LLM-based detection.</w:t>
      </w:r>
    </w:p>
    <w:p>
      <w:pPr>
        <w:pStyle w:val="ListParagraph"/>
        <w:numPr>
          <w:ilvl w:val="0"/>
          <w:numId w:val="2"/>
        </w:numPr>
        <w:spacing w:after="80" w:line="252"/>
        <w:jc w:val="both"/>
      </w:pPr>
      <w:r>
        <w:rPr>
          <w:rFonts w:ascii="Times New Roman" w:cs="Times New Roman" w:eastAsia="Times New Roman" w:hAnsi="Times New Roman"/>
          <w:sz w:val="20"/>
          <w:szCs w:val="20"/>
        </w:rPr>
        <w:t xml:space="preserve">The 1.0 detection rate is measured on this project's own 6-server, 6-vulnerability test bed; it demonstrates the approach works, not a claim about real-world scale.</w:t>
      </w:r>
    </w:p>
    <w:p>
      <w:pPr>
        <w:pStyle w:val="ListParagraph"/>
        <w:numPr>
          <w:ilvl w:val="0"/>
          <w:numId w:val="2"/>
        </w:numPr>
        <w:spacing w:after="80" w:line="252"/>
        <w:jc w:val="both"/>
      </w:pPr>
      <w:r>
        <w:rPr>
          <w:rFonts w:ascii="Times New Roman" w:cs="Times New Roman" w:eastAsia="Times New Roman" w:hAnsi="Times New Roman"/>
          <w:sz w:val="20"/>
          <w:szCs w:val="20"/>
        </w:rPr>
        <w:t xml:space="preserve">mcp-scan, the originally planned comparison baseline, was acquired by Snyk mid-project and now requires an account/API token; this project built its own transparent regex baseline instead.</w:t>
      </w:r>
    </w:p>
    <w:p>
      <w:pPr>
        <w:spacing w:after="160" w:before="320"/>
        <w:jc w:val="center"/>
      </w:pPr>
      <w:r>
        <w:rPr>
          <w:rFonts w:ascii="Times New Roman" w:cs="Times New Roman" w:eastAsia="Times New Roman" w:hAnsi="Times New Roman"/>
          <w:b/>
          <w:bCs/>
          <w:smallCaps/>
          <w:sz w:val="20"/>
          <w:szCs w:val="20"/>
        </w:rPr>
        <w:t xml:space="preserve">X. Conclusion And Future Work</w:t>
      </w:r>
    </w:p>
    <w:p>
      <w:pPr>
        <w:spacing w:after="160" w:line="252"/>
        <w:jc w:val="both"/>
      </w:pPr>
      <w:r>
        <w:rPr>
          <w:rFonts w:ascii="Times New Roman" w:cs="Times New Roman" w:eastAsia="Times New Roman" w:hAnsi="Times New Roman"/>
          <w:sz w:val="20"/>
          <w:szCs w:val="20"/>
        </w:rPr>
        <w:t xml:space="preserve">This project shows that a small, fully local LLM, grounded by retrieval against a curated attack-pattern knowledge base, can match a transparent keyword scanner on obvious MCP attacks and uniquely catch a paraphrased attack it misses — with zero false positives across a six-server, three-category test bed, confirmed across repeated runs and reproduced live while writing this report. The Drift Monitor extends coverage into the time dimension a one-shot scan cannot reach, and exposing the whole pipeline as an MCP server makes the result something a real client can actually call.</w:t>
      </w:r>
    </w:p>
    <w:p>
      <w:pPr>
        <w:pStyle w:val="ListParagraph"/>
        <w:numPr>
          <w:ilvl w:val="0"/>
          <w:numId w:val="2"/>
        </w:numPr>
        <w:spacing w:after="80" w:line="252"/>
        <w:jc w:val="both"/>
      </w:pPr>
      <w:r>
        <w:rPr>
          <w:rFonts w:ascii="Times New Roman" w:cs="Times New Roman" w:eastAsia="Times New Roman" w:hAnsi="Times New Roman"/>
          <w:sz w:val="20"/>
          <w:szCs w:val="20"/>
        </w:rPr>
        <w:t xml:space="preserve">Expand the test bed beyond 6 servers to better estimate real-world detection rate.</w:t>
      </w:r>
    </w:p>
    <w:p>
      <w:pPr>
        <w:pStyle w:val="ListParagraph"/>
        <w:numPr>
          <w:ilvl w:val="0"/>
          <w:numId w:val="2"/>
        </w:numPr>
        <w:spacing w:after="80" w:line="252"/>
        <w:jc w:val="both"/>
      </w:pPr>
      <w:r>
        <w:rPr>
          <w:rFonts w:ascii="Times New Roman" w:cs="Times New Roman" w:eastAsia="Times New Roman" w:hAnsi="Times New Roman"/>
          <w:sz w:val="20"/>
          <w:szCs w:val="20"/>
        </w:rPr>
        <w:t xml:space="preserve">Implement Damerau-Levenshtein distance to close the double-transposition typosquat gap.</w:t>
      </w:r>
    </w:p>
    <w:p>
      <w:pPr>
        <w:pStyle w:val="ListParagraph"/>
        <w:numPr>
          <w:ilvl w:val="0"/>
          <w:numId w:val="2"/>
        </w:numPr>
        <w:spacing w:after="80" w:line="252"/>
        <w:jc w:val="both"/>
      </w:pPr>
      <w:r>
        <w:rPr>
          <w:rFonts w:ascii="Times New Roman" w:cs="Times New Roman" w:eastAsia="Times New Roman" w:hAnsi="Times New Roman"/>
          <w:sz w:val="20"/>
          <w:szCs w:val="20"/>
        </w:rPr>
        <w:t xml:space="preserve">Evaluate additional local models (qwen2.5, gemma3) to extend the model-size ablation.</w:t>
      </w:r>
    </w:p>
    <w:p>
      <w:pPr>
        <w:pStyle w:val="ListParagraph"/>
        <w:numPr>
          <w:ilvl w:val="0"/>
          <w:numId w:val="2"/>
        </w:numPr>
        <w:spacing w:after="80" w:line="252"/>
        <w:jc w:val="both"/>
      </w:pPr>
      <w:r>
        <w:rPr>
          <w:rFonts w:ascii="Times New Roman" w:cs="Times New Roman" w:eastAsia="Times New Roman" w:hAnsi="Times New Roman"/>
          <w:sz w:val="20"/>
          <w:szCs w:val="20"/>
        </w:rPr>
        <w:t xml:space="preserve">Integrate a licensed baseline (snyk-agent-scan) for a three-way comparison.</w:t>
      </w:r>
    </w:p>
    <w:p>
      <w:pPr>
        <w:pStyle w:val="ListParagraph"/>
        <w:numPr>
          <w:ilvl w:val="0"/>
          <w:numId w:val="2"/>
        </w:numPr>
        <w:spacing w:after="80" w:line="252"/>
        <w:jc w:val="both"/>
      </w:pPr>
      <w:r>
        <w:rPr>
          <w:rFonts w:ascii="Times New Roman" w:cs="Times New Roman" w:eastAsia="Times New Roman" w:hAnsi="Times New Roman"/>
          <w:sz w:val="20"/>
          <w:szCs w:val="20"/>
        </w:rPr>
        <w:t xml:space="preserve">Package auditor_mcp_server.py for one-line installation into Claude Desktop / Claude Code.</w:t>
      </w:r>
    </w:p>
    <w:p>
      <w:pPr>
        <w:sectPr>
          <w:type w:val="continuous"/>
          <w:pgSz w:w="12240" w:h="15840" w:orient="portrait"/>
          <w:pgMar w:top="1080" w:right="900" w:bottom="1440" w:left="900" w:header="708" w:footer="708" w:gutter="0"/>
          <w:pgNumType/>
          <w:cols w:space="288" w:num="2"/>
          <w:docGrid w:linePitch="360"/>
        </w:sectPr>
      </w:pPr>
    </w:p>
    <w:p>
      <w:pPr>
        <w:spacing w:after="160" w:before="320"/>
        <w:jc w:val="center"/>
      </w:pPr>
      <w:r>
        <w:rPr>
          <w:rFonts w:ascii="Times New Roman" w:cs="Times New Roman" w:eastAsia="Times New Roman" w:hAnsi="Times New Roman"/>
          <w:b/>
          <w:bCs/>
          <w:smallCaps/>
          <w:sz w:val="20"/>
          <w:szCs w:val="20"/>
        </w:rPr>
        <w:t xml:space="preserve">XI. Reproducibility — How To Run</w:t>
      </w:r>
    </w:p>
    <w:p>
      <w:pPr>
        <w:spacing w:after="100" w:before="200"/>
        <w:jc w:val="left"/>
      </w:pPr>
      <w:r>
        <w:rPr>
          <w:rFonts w:ascii="Times New Roman" w:cs="Times New Roman" w:eastAsia="Times New Roman" w:hAnsi="Times New Roman"/>
          <w:i/>
          <w:iCs/>
          <w:sz w:val="20"/>
          <w:szCs w:val="20"/>
        </w:rPr>
        <w:t xml:space="preserve">A. Setup</w:t>
      </w:r>
    </w:p>
    <w:p>
      <w:pPr>
        <w:pBdr>
          <w:top w:val="single" w:color="BFBFBF" w:sz="2"/>
          <w:bottom w:val="single" w:color="BFBFBF" w:sz="2"/>
          <w:left w:val="single" w:color="BFBFBF" w:sz="2"/>
          <w:right w:val="single" w:color="BFBFBF" w:sz="2"/>
        </w:pBdr>
        <w:shd w:fill="F2F2F2"/>
        <w:spacing w:after="160" w:before="40"/>
      </w:pPr>
      <w:r>
        <w:rPr>
          <w:rFonts w:ascii="Consolas" w:cs="Consolas" w:eastAsia="Consolas" w:hAnsi="Consolas"/>
          <w:sz w:val="16"/>
          <w:szCs w:val="16"/>
        </w:rPr>
        <w:t xml:space="preserve">python -m venv venv</w:t>
      </w:r>
      <w:r>
        <w:rPr>
          <w:rFonts w:ascii="Consolas" w:cs="Consolas" w:eastAsia="Consolas" w:hAnsi="Consolas"/>
          <w:sz w:val="16"/>
          <w:szCs w:val="16"/>
        </w:rPr>
        <w:br/>
        <w:t xml:space="preserve">venv\Scripts\activate          # Windows</w:t>
      </w:r>
      <w:r>
        <w:rPr>
          <w:rFonts w:ascii="Consolas" w:cs="Consolas" w:eastAsia="Consolas" w:hAnsi="Consolas"/>
          <w:sz w:val="16"/>
          <w:szCs w:val="16"/>
        </w:rPr>
        <w:br/>
        <w:t xml:space="preserve">pip install -r requirements.txt</w:t>
      </w:r>
      <w:r>
        <w:rPr>
          <w:rFonts w:ascii="Consolas" w:cs="Consolas" w:eastAsia="Consolas" w:hAnsi="Consolas"/>
          <w:sz w:val="16"/>
          <w:szCs w:val="16"/>
        </w:rPr>
        <w:br/>
        <w:t xml:space="preserve"> </w:t>
      </w:r>
      <w:r>
        <w:rPr>
          <w:rFonts w:ascii="Consolas" w:cs="Consolas" w:eastAsia="Consolas" w:hAnsi="Consolas"/>
          <w:sz w:val="16"/>
          <w:szCs w:val="16"/>
        </w:rPr>
        <w:br/>
        <w:t xml:space="preserve">ollama pull llama3.1:8b</w:t>
      </w:r>
      <w:r>
        <w:rPr>
          <w:rFonts w:ascii="Consolas" w:cs="Consolas" w:eastAsia="Consolas" w:hAnsi="Consolas"/>
          <w:sz w:val="16"/>
          <w:szCs w:val="16"/>
        </w:rPr>
        <w:br/>
        <w:t xml:space="preserve">ollama pull nomic-embed-text</w:t>
      </w:r>
      <w:r>
        <w:rPr>
          <w:rFonts w:ascii="Consolas" w:cs="Consolas" w:eastAsia="Consolas" w:hAnsi="Consolas"/>
          <w:sz w:val="16"/>
          <w:szCs w:val="16"/>
        </w:rPr>
        <w:br/>
        <w:t xml:space="preserve">ollama serve</w:t>
      </w:r>
    </w:p>
    <w:p>
      <w:pPr>
        <w:spacing w:after="100" w:before="200"/>
        <w:jc w:val="left"/>
      </w:pPr>
      <w:r>
        <w:rPr>
          <w:rFonts w:ascii="Times New Roman" w:cs="Times New Roman" w:eastAsia="Times New Roman" w:hAnsi="Times New Roman"/>
          <w:i/>
          <w:iCs/>
          <w:sz w:val="20"/>
          <w:szCs w:val="20"/>
        </w:rPr>
        <w:t xml:space="preserve">B. Running Individual Agents</w:t>
      </w:r>
    </w:p>
    <w:p>
      <w:pPr>
        <w:pBdr>
          <w:top w:val="single" w:color="BFBFBF" w:sz="2"/>
          <w:bottom w:val="single" w:color="BFBFBF" w:sz="2"/>
          <w:left w:val="single" w:color="BFBFBF" w:sz="2"/>
          <w:right w:val="single" w:color="BFBFBF" w:sz="2"/>
        </w:pBdr>
        <w:shd w:fill="F2F2F2"/>
        <w:spacing w:after="160" w:before="40"/>
      </w:pPr>
      <w:r>
        <w:rPr>
          <w:rFonts w:ascii="Consolas" w:cs="Consolas" w:eastAsia="Consolas" w:hAnsi="Consolas"/>
          <w:sz w:val="16"/>
          <w:szCs w:val="16"/>
        </w:rPr>
        <w:t xml:space="preserve">python agents/recon.py servers/clean_server.py</w:t>
      </w:r>
      <w:r>
        <w:rPr>
          <w:rFonts w:ascii="Consolas" w:cs="Consolas" w:eastAsia="Consolas" w:hAnsi="Consolas"/>
          <w:sz w:val="16"/>
          <w:szCs w:val="16"/>
        </w:rPr>
        <w:br/>
        <w:t xml:space="preserve">python agents/semantic_analyzer.py servers/tool_poisoning_server.py</w:t>
      </w:r>
      <w:r>
        <w:rPr>
          <w:rFonts w:ascii="Consolas" w:cs="Consolas" w:eastAsia="Consolas" w:hAnsi="Consolas"/>
          <w:sz w:val="16"/>
          <w:szCs w:val="16"/>
        </w:rPr>
        <w:br/>
        <w:t xml:space="preserve"> </w:t>
      </w:r>
      <w:r>
        <w:rPr>
          <w:rFonts w:ascii="Consolas" w:cs="Consolas" w:eastAsia="Consolas" w:hAnsi="Consolas"/>
          <w:sz w:val="16"/>
          <w:szCs w:val="16"/>
        </w:rPr>
        <w:br/>
        <w:t xml:space="preserve">python agents/drift_monitor.py baseline servers/rug_pull_server.py</w:t>
      </w:r>
      <w:r>
        <w:rPr>
          <w:rFonts w:ascii="Consolas" w:cs="Consolas" w:eastAsia="Consolas" w:hAnsi="Consolas"/>
          <w:sz w:val="16"/>
          <w:szCs w:val="16"/>
        </w:rPr>
        <w:br/>
        <w:t xml:space="preserve">$env:RUG_PULL="1"</w:t>
      </w:r>
      <w:r>
        <w:rPr>
          <w:rFonts w:ascii="Consolas" w:cs="Consolas" w:eastAsia="Consolas" w:hAnsi="Consolas"/>
          <w:sz w:val="16"/>
          <w:szCs w:val="16"/>
        </w:rPr>
        <w:br/>
        <w:t xml:space="preserve">python agents/drift_monitor.py check servers/rug_pull_server.py</w:t>
      </w:r>
      <w:r>
        <w:rPr>
          <w:rFonts w:ascii="Consolas" w:cs="Consolas" w:eastAsia="Consolas" w:hAnsi="Consolas"/>
          <w:sz w:val="16"/>
          <w:szCs w:val="16"/>
        </w:rPr>
        <w:br/>
        <w:t xml:space="preserve"> </w:t>
      </w:r>
      <w:r>
        <w:rPr>
          <w:rFonts w:ascii="Consolas" w:cs="Consolas" w:eastAsia="Consolas" w:hAnsi="Consolas"/>
          <w:sz w:val="16"/>
          <w:szCs w:val="16"/>
        </w:rPr>
        <w:br/>
        <w:t xml:space="preserve">python agents/reporting.py servers/tool_poisoning_server.py --out report.md</w:t>
      </w:r>
      <w:r>
        <w:rPr>
          <w:rFonts w:ascii="Consolas" w:cs="Consolas" w:eastAsia="Consolas" w:hAnsi="Consolas"/>
          <w:sz w:val="16"/>
          <w:szCs w:val="16"/>
        </w:rPr>
        <w:br/>
        <w:t xml:space="preserve">python agents/baseline_regex_scanner.py servers/tool_poisoning_server.py</w:t>
      </w:r>
      <w:r>
        <w:rPr>
          <w:rFonts w:ascii="Consolas" w:cs="Consolas" w:eastAsia="Consolas" w:hAnsi="Consolas"/>
          <w:sz w:val="16"/>
          <w:szCs w:val="16"/>
        </w:rPr>
        <w:br/>
        <w:t xml:space="preserve">python agents/benchmark.py --runs 3</w:t>
      </w:r>
      <w:r>
        <w:rPr>
          <w:rFonts w:ascii="Consolas" w:cs="Consolas" w:eastAsia="Consolas" w:hAnsi="Consolas"/>
          <w:sz w:val="16"/>
          <w:szCs w:val="16"/>
        </w:rPr>
        <w:br/>
        <w:t xml:space="preserve">streamlit run dashboard/app.py</w:t>
      </w:r>
    </w:p>
    <w:p>
      <w:pPr>
        <w:spacing w:after="160" w:line="252"/>
        <w:jc w:val="both"/>
      </w:pPr>
      <w:r>
        <w:rPr>
          <w:rFonts w:ascii="Times New Roman" w:cs="Times New Roman" w:eastAsia="Times New Roman" w:hAnsi="Times New Roman"/>
          <w:sz w:val="20"/>
          <w:szCs w:val="20"/>
        </w:rPr>
        <w:t xml:space="preserve">Note (Windows console): set $env:PYTHONIOENCODING="utf-8" once per PowerShell session before running any agent that prints the check/flag severity markers — the default Windows console codepage (cp1252) cannot render them. reporting.py writes report files with explicit UTF-8 encoding.</w:t>
      </w:r>
    </w:p>
    <w:p>
      <w:pPr>
        <w:sectPr>
          <w:type w:val="continuous"/>
          <w:pgSz w:w="12240" w:h="15840" w:orient="portrait"/>
          <w:pgMar w:top="1080" w:right="900" w:bottom="1440" w:left="900" w:header="708" w:footer="708" w:gutter="0"/>
          <w:pgNumType/>
          <w:cols w:num="1"/>
          <w:docGrid w:linePitch="360"/>
        </w:sectPr>
      </w:pPr>
    </w:p>
    <w:p>
      <w:pPr>
        <w:spacing w:after="160" w:before="320"/>
        <w:jc w:val="center"/>
      </w:pPr>
      <w:r>
        <w:rPr>
          <w:rFonts w:ascii="Times New Roman" w:cs="Times New Roman" w:eastAsia="Times New Roman" w:hAnsi="Times New Roman"/>
          <w:b/>
          <w:bCs/>
          <w:smallCaps/>
          <w:sz w:val="20"/>
          <w:szCs w:val="20"/>
        </w:rPr>
        <w:t xml:space="preserve">References</w:t>
      </w:r>
    </w:p>
    <w:p>
      <w:pPr>
        <w:spacing w:after="80" w:line="240"/>
        <w:ind w:left="220" w:hanging="220"/>
        <w:jc w:val="both"/>
      </w:pPr>
      <w:r>
        <w:rPr>
          <w:rFonts w:ascii="Times New Roman" w:cs="Times New Roman" w:eastAsia="Times New Roman" w:hAnsi="Times New Roman"/>
          <w:sz w:val="18"/>
          <w:szCs w:val="18"/>
        </w:rPr>
        <w:t xml:space="preserve">[1] OWASP Foundation, “OWASP MCP Top 10 (beta),” github.com/OWASP/www-project-mcp-top-10, 2025.</w:t>
      </w:r>
    </w:p>
    <w:p>
      <w:pPr>
        <w:spacing w:after="80" w:line="240"/>
        <w:ind w:left="220" w:hanging="220"/>
        <w:jc w:val="both"/>
      </w:pPr>
      <w:r>
        <w:rPr>
          <w:rFonts w:ascii="Times New Roman" w:cs="Times New Roman" w:eastAsia="Times New Roman" w:hAnsi="Times New Roman"/>
          <w:sz w:val="18"/>
          <w:szCs w:val="18"/>
        </w:rPr>
        <w:t xml:space="preserve">[2] Model Context Protocol specification and Python SDK, modelcontextprotocol.io.</w:t>
      </w:r>
    </w:p>
    <w:p>
      <w:pPr>
        <w:spacing w:after="80" w:line="240"/>
        <w:ind w:left="220" w:hanging="220"/>
        <w:jc w:val="both"/>
      </w:pPr>
      <w:r>
        <w:rPr>
          <w:rFonts w:ascii="Times New Roman" w:cs="Times New Roman" w:eastAsia="Times New Roman" w:hAnsi="Times New Roman"/>
          <w:sz w:val="18"/>
          <w:szCs w:val="18"/>
        </w:rPr>
        <w:t xml:space="preserve">[3] The Vulnerable MCP Project, community-maintained MCP CVE/incident tracker.</w:t>
      </w:r>
    </w:p>
    <w:p>
      <w:pPr>
        <w:spacing w:after="80" w:line="240"/>
        <w:ind w:left="220" w:hanging="220"/>
        <w:jc w:val="both"/>
      </w:pPr>
      <w:r>
        <w:rPr>
          <w:rFonts w:ascii="Times New Roman" w:cs="Times New Roman" w:eastAsia="Times New Roman" w:hAnsi="Times New Roman"/>
          <w:sz w:val="18"/>
          <w:szCs w:val="18"/>
        </w:rPr>
        <w:t xml:space="preserve">[4] Ollama — local LLM runtime, ollama.com.</w:t>
      </w:r>
    </w:p>
    <w:p>
      <w:pPr>
        <w:spacing w:after="80" w:line="240"/>
        <w:ind w:left="220" w:hanging="220"/>
        <w:jc w:val="both"/>
      </w:pPr>
      <w:r>
        <w:rPr>
          <w:rFonts w:ascii="Times New Roman" w:cs="Times New Roman" w:eastAsia="Times New Roman" w:hAnsi="Times New Roman"/>
          <w:sz w:val="18"/>
          <w:szCs w:val="18"/>
        </w:rPr>
        <w:t xml:space="preserve">[5] Chroma — open-source embedding database, trychroma.com.</w:t>
      </w:r>
    </w:p>
    <w:sectPr>
      <w:type w:val="continuous"/>
      <w:pgSz w:w="12240" w:h="15840" w:orient="portrait"/>
      <w:pgMar w:top="1080" w:right="900" w:bottom="144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20"/>
      </w:pPr>
      <w:rPr>
        <w:rFonts w:ascii="Times New Roman" w:cs="Times New Roman" w:eastAsia="Times New Roman" w:hAnsi="Times New Roman"/>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2026-08-07T17:25:17.276Z</dcterms:created>
  <dcterms:modified xsi:type="dcterms:W3CDTF">2026-08-07T17:25:17.290Z</dcterms:modified>
</cp:coreProperties>
</file>

<file path=docProps/custom.xml><?xml version="1.0" encoding="utf-8"?>
<Properties xmlns="http://schemas.openxmlformats.org/officeDocument/2006/custom-properties" xmlns:vt="http://schemas.openxmlformats.org/officeDocument/2006/docPropsVTypes"/>
</file>