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YuvaIntern – Week 2 Report</w:t>
      </w:r>
    </w:p>
    <w:p>
      <w:pPr>
        <w:jc w:val="center"/>
      </w:pPr>
      <w:r>
        <w:rPr>
          <w:b/>
          <w:sz w:val="32"/>
        </w:rPr>
        <w:t>Exploratory Data Analysis (EDA) and Visualization</w:t>
      </w:r>
    </w:p>
    <w:p>
      <w:pPr>
        <w:jc w:val="center"/>
      </w:pPr>
      <w:r>
        <w:rPr>
          <w:i/>
        </w:rPr>
        <w:t>Hotel Booking Demand Dataset</w:t>
      </w:r>
    </w:p>
    <w:p/>
    <w:p>
      <w:pPr>
        <w:pStyle w:val="Heading1"/>
      </w:pPr>
      <w:r>
        <w:t>1. Introduction</w:t>
      </w:r>
    </w:p>
    <w:p>
      <w:r>
        <w:t>This report presents the Exploratory Data Analysis (EDA) and visualization performed during Week 2 of the YuvaIntern Data Science with Python internship. The analysis uses the cleaned Hotel Booking Demand dataset prepared during Week 1. Python libraries including Pandas, NumPy, Matplotlib, and Seaborn were used to summarize the data, identify patterns and relationships, and communicate findings through visualizations.</w:t>
      </w:r>
    </w:p>
    <w:p>
      <w:pPr>
        <w:pStyle w:val="Heading1"/>
      </w:pPr>
      <w:r>
        <w:t>2. Objective</w:t>
      </w:r>
    </w:p>
    <w:p>
      <w:r>
        <w:t>The objective of this task is to perform EDA on a public dataset, summarize important statistics, explore key variables, identify patterns and relationships, create multiple visualizations, and interpret the findings.</w:t>
      </w:r>
    </w:p>
    <w:p>
      <w:pPr>
        <w:pStyle w:val="Heading1"/>
      </w:pPr>
      <w:r>
        <w:t>3. Dataset Overview</w:t>
      </w:r>
    </w:p>
    <w:p>
      <w:pPr>
        <w:pStyle w:val="ListBullet"/>
      </w:pPr>
      <w:r>
        <w:t>Dataset: Hotel Booking Demand</w:t>
      </w:r>
    </w:p>
    <w:p>
      <w:pPr>
        <w:pStyle w:val="ListBullet"/>
      </w:pPr>
      <w:r>
        <w:t>Source: Publicly available hotel booking dataset</w:t>
      </w:r>
    </w:p>
    <w:p>
      <w:pPr>
        <w:pStyle w:val="ListBullet"/>
      </w:pPr>
      <w:r>
        <w:t>Working file: hotel_bookings_cleaned.csv</w:t>
      </w:r>
    </w:p>
    <w:p>
      <w:pPr>
        <w:pStyle w:val="ListBullet"/>
      </w:pPr>
      <w:r>
        <w:t>Final working dataset shape: 87,389 rows × 34 columns</w:t>
      </w:r>
    </w:p>
    <w:p>
      <w:pPr>
        <w:pStyle w:val="ListBullet"/>
      </w:pPr>
      <w:r>
        <w:t>Main analysis themes: bookings, cancellations, ADR, lead time, customer type, market segment, and numerical correlations</w:t>
      </w:r>
    </w:p>
    <w:p>
      <w:pPr>
        <w:pStyle w:val="Heading1"/>
      </w:pPr>
      <w:r>
        <w:t>4. Tools and Technologies</w:t>
      </w:r>
    </w:p>
    <w:p>
      <w:r>
        <w:t>Python, Pandas, NumPy, Matplotlib, Seaborn, and Jupyter Notebook / VS Code.</w:t>
      </w:r>
    </w:p>
    <w:p>
      <w:pPr>
        <w:pStyle w:val="Heading1"/>
      </w:pPr>
      <w:r>
        <w:t>5. EDA Process</w:t>
      </w:r>
    </w:p>
    <w:p>
      <w:pPr>
        <w:pStyle w:val="Heading2"/>
      </w:pPr>
      <w:r>
        <w:t>5.1 Initial inspection</w:t>
      </w:r>
    </w:p>
    <w:p>
      <w:r>
        <w:t>The dataset was loaded and inspected using shape, columns, info, and descriptive statistics.</w:t>
      </w:r>
    </w:p>
    <w:p>
      <w:pPr>
        <w:pStyle w:val="Heading2"/>
      </w:pPr>
      <w:r>
        <w:t>5.2 Booking analysis</w:t>
      </w:r>
    </w:p>
    <w:p>
      <w:r>
        <w:t>Booking counts were examined by hotel type and arrival month.</w:t>
      </w:r>
    </w:p>
    <w:p>
      <w:pPr>
        <w:pStyle w:val="Heading2"/>
      </w:pPr>
      <w:r>
        <w:t>5.3 Cancellation analysis</w:t>
      </w:r>
    </w:p>
    <w:p>
      <w:r>
        <w:t>Overall cancellation distribution and category-wise cancellation patterns were explored.</w:t>
      </w:r>
    </w:p>
    <w:p>
      <w:pPr>
        <w:pStyle w:val="Heading2"/>
      </w:pPr>
      <w:r>
        <w:t>5.4 Customer and market analysis</w:t>
      </w:r>
    </w:p>
    <w:p>
      <w:r>
        <w:t>Customer types and market segments were compared using booking counts.</w:t>
      </w:r>
    </w:p>
    <w:p>
      <w:pPr>
        <w:pStyle w:val="Heading2"/>
      </w:pPr>
      <w:r>
        <w:t>5.5 ADR analysis</w:t>
      </w:r>
    </w:p>
    <w:p>
      <w:r>
        <w:t>ADR was examined using summary statistics and distribution-based visualization.</w:t>
      </w:r>
    </w:p>
    <w:p>
      <w:pPr>
        <w:pStyle w:val="Heading2"/>
      </w:pPr>
      <w:r>
        <w:t>5.6 Relationship analysis</w:t>
      </w:r>
    </w:p>
    <w:p>
      <w:r>
        <w:t>Lead time and ADR were compared, and a correlation heatmap was created for numerical variables.</w:t>
      </w:r>
    </w:p>
    <w:p>
      <w:pPr>
        <w:pStyle w:val="Heading1"/>
      </w:pPr>
      <w:r>
        <w:t>6. Visualizations and Interpretation</w:t>
      </w:r>
    </w:p>
    <w:p>
      <w:r>
        <w:t>The report includes a selected set of the clearest and most useful graphs from the notebook. Not every notebook graph is repeated here because several charts communicate similar information. This keeps the final report concise while still covering trends, category comparisons, distributions, relationships, and correlations required by the Week 2 task.</w:t>
      </w:r>
    </w:p>
    <w:p/>
    <w:p>
      <w:pPr>
        <w:jc w:val="center"/>
      </w:pPr>
      <w:r>
        <w:drawing>
          <wp:inline xmlns:a="http://schemas.openxmlformats.org/drawingml/2006/main" xmlns:pic="http://schemas.openxmlformats.org/drawingml/2006/picture">
            <wp:extent cx="5669280" cy="4251960"/>
            <wp:docPr id="1" name="Picture 1"/>
            <wp:cNvGraphicFramePr>
              <a:graphicFrameLocks noChangeAspect="1"/>
            </wp:cNvGraphicFramePr>
            <a:graphic>
              <a:graphicData uri="http://schemas.openxmlformats.org/drawingml/2006/picture">
                <pic:pic>
                  <pic:nvPicPr>
                    <pic:cNvPr id="0" name="image-1791058842914.jpg"/>
                    <pic:cNvPicPr/>
                  </pic:nvPicPr>
                  <pic:blipFill>
                    <a:blip r:embed="rId9"/>
                    <a:stretch>
                      <a:fillRect/>
                    </a:stretch>
                  </pic:blipFill>
                  <pic:spPr>
                    <a:xfrm>
                      <a:off x="0" y="0"/>
                      <a:ext cx="5669280" cy="4251960"/>
                    </a:xfrm>
                    <a:prstGeom prst="rect"/>
                  </pic:spPr>
                </pic:pic>
              </a:graphicData>
            </a:graphic>
          </wp:inline>
        </w:drawing>
      </w:r>
    </w:p>
    <w:p>
      <w:pPr>
        <w:jc w:val="center"/>
      </w:pPr>
      <w:r>
        <w:rPr>
          <w:b/>
        </w:rPr>
        <w:t>Figure 1: Monthly Booking Count</w:t>
      </w:r>
    </w:p>
    <w:p>
      <w:r>
        <w:t>Interpretation: The monthly booking chart shows that booking volume varies across arrival months, indicating seasonal differences in booking activity.</w:t>
      </w:r>
    </w:p>
    <w:p/>
    <w:p>
      <w:pPr>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image-1791058853284.jpg"/>
                    <pic:cNvPicPr/>
                  </pic:nvPicPr>
                  <pic:blipFill>
                    <a:blip r:embed="rId10"/>
                    <a:stretch>
                      <a:fillRect/>
                    </a:stretch>
                  </pic:blipFill>
                  <pic:spPr>
                    <a:xfrm>
                      <a:off x="0" y="0"/>
                      <a:ext cx="5669280" cy="4251960"/>
                    </a:xfrm>
                    <a:prstGeom prst="rect"/>
                  </pic:spPr>
                </pic:pic>
              </a:graphicData>
            </a:graphic>
          </wp:inline>
        </w:drawing>
      </w:r>
    </w:p>
    <w:p>
      <w:pPr>
        <w:jc w:val="center"/>
      </w:pPr>
      <w:r>
        <w:rPr>
          <w:b/>
        </w:rPr>
        <w:t>Figure 2: Booking Count by Customer Type</w:t>
      </w:r>
    </w:p>
    <w:p>
      <w:r>
        <w:t>Interpretation: The chart compares booking volume across customer categories and shows that the categories contribute differently to the overall dataset.</w:t>
      </w:r>
    </w:p>
    <w:p/>
    <w:p>
      <w:pPr>
        <w:jc w:val="center"/>
      </w:pPr>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image-1791058898590.jpg"/>
                    <pic:cNvPicPr/>
                  </pic:nvPicPr>
                  <pic:blipFill>
                    <a:blip r:embed="rId11"/>
                    <a:stretch>
                      <a:fillRect/>
                    </a:stretch>
                  </pic:blipFill>
                  <pic:spPr>
                    <a:xfrm>
                      <a:off x="0" y="0"/>
                      <a:ext cx="5669280" cy="4251960"/>
                    </a:xfrm>
                    <a:prstGeom prst="rect"/>
                  </pic:spPr>
                </pic:pic>
              </a:graphicData>
            </a:graphic>
          </wp:inline>
        </w:drawing>
      </w:r>
    </w:p>
    <w:p>
      <w:pPr>
        <w:jc w:val="center"/>
      </w:pPr>
      <w:r>
        <w:rPr>
          <w:b/>
        </w:rPr>
        <w:t>Figure 3: Booking Count by Market Segment</w:t>
      </w:r>
    </w:p>
    <w:p>
      <w:r>
        <w:t>Interpretation: The market-segment visualization shows that bookings are concentrated in a small number of segments, while several other segments contribute much smaller volumes.</w:t>
      </w:r>
    </w:p>
    <w:p/>
    <w:p>
      <w:pPr>
        <w:jc w:val="center"/>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image-1791058932972.jpg"/>
                    <pic:cNvPicPr/>
                  </pic:nvPicPr>
                  <pic:blipFill>
                    <a:blip r:embed="rId12"/>
                    <a:stretch>
                      <a:fillRect/>
                    </a:stretch>
                  </pic:blipFill>
                  <pic:spPr>
                    <a:xfrm>
                      <a:off x="0" y="0"/>
                      <a:ext cx="5669280" cy="4251960"/>
                    </a:xfrm>
                    <a:prstGeom prst="rect"/>
                  </pic:spPr>
                </pic:pic>
              </a:graphicData>
            </a:graphic>
          </wp:inline>
        </w:drawing>
      </w:r>
    </w:p>
    <w:p>
      <w:pPr>
        <w:jc w:val="center"/>
      </w:pPr>
      <w:r>
        <w:rPr>
          <w:b/>
        </w:rPr>
        <w:t>Figure 4: Correlation Heatmap</w:t>
      </w:r>
    </w:p>
    <w:p>
      <w:r>
        <w:t>Interpretation: The correlation heatmap is used to identify relationships among numerical variables. Stronger relationships are represented by more intense correlation values.</w:t>
      </w:r>
    </w:p>
    <w:p/>
    <w:p>
      <w:pPr>
        <w:jc w:val="center"/>
      </w:pPr>
      <w:r>
        <w:drawing>
          <wp:inline xmlns:a="http://schemas.openxmlformats.org/drawingml/2006/main" xmlns:pic="http://schemas.openxmlformats.org/drawingml/2006/picture">
            <wp:extent cx="5669280" cy="4251960"/>
            <wp:docPr id="5" name="Picture 5"/>
            <wp:cNvGraphicFramePr>
              <a:graphicFrameLocks noChangeAspect="1"/>
            </wp:cNvGraphicFramePr>
            <a:graphic>
              <a:graphicData uri="http://schemas.openxmlformats.org/drawingml/2006/picture">
                <pic:pic>
                  <pic:nvPicPr>
                    <pic:cNvPr id="0" name="image-1791058939006.jpg"/>
                    <pic:cNvPicPr/>
                  </pic:nvPicPr>
                  <pic:blipFill>
                    <a:blip r:embed="rId13"/>
                    <a:stretch>
                      <a:fillRect/>
                    </a:stretch>
                  </pic:blipFill>
                  <pic:spPr>
                    <a:xfrm>
                      <a:off x="0" y="0"/>
                      <a:ext cx="5669280" cy="4251960"/>
                    </a:xfrm>
                    <a:prstGeom prst="rect"/>
                  </pic:spPr>
                </pic:pic>
              </a:graphicData>
            </a:graphic>
          </wp:inline>
        </w:drawing>
      </w:r>
    </w:p>
    <w:p>
      <w:pPr>
        <w:jc w:val="center"/>
      </w:pPr>
      <w:r>
        <w:rPr>
          <w:b/>
        </w:rPr>
        <w:t>Figure 5: Lead Time and ADR Relationship</w:t>
      </w:r>
    </w:p>
    <w:p>
      <w:r>
        <w:t>Interpretation: The scatter plot compares lead time with Average Daily Rate (ADR) and helps identify the overall relationship, spread, and unusual observations between the two numerical variables.</w:t>
      </w:r>
    </w:p>
    <w:p/>
    <w:p>
      <w:pPr>
        <w:jc w:val="center"/>
      </w:pPr>
      <w:r>
        <w:drawing>
          <wp:inline xmlns:a="http://schemas.openxmlformats.org/drawingml/2006/main" xmlns:pic="http://schemas.openxmlformats.org/drawingml/2006/picture">
            <wp:extent cx="5669280" cy="4251960"/>
            <wp:docPr id="6" name="Picture 6"/>
            <wp:cNvGraphicFramePr>
              <a:graphicFrameLocks noChangeAspect="1"/>
            </wp:cNvGraphicFramePr>
            <a:graphic>
              <a:graphicData uri="http://schemas.openxmlformats.org/drawingml/2006/picture">
                <pic:pic>
                  <pic:nvPicPr>
                    <pic:cNvPr id="0" name="image-1791058947949.jpg"/>
                    <pic:cNvPicPr/>
                  </pic:nvPicPr>
                  <pic:blipFill>
                    <a:blip r:embed="rId14"/>
                    <a:stretch>
                      <a:fillRect/>
                    </a:stretch>
                  </pic:blipFill>
                  <pic:spPr>
                    <a:xfrm>
                      <a:off x="0" y="0"/>
                      <a:ext cx="5669280" cy="4251960"/>
                    </a:xfrm>
                    <a:prstGeom prst="rect"/>
                  </pic:spPr>
                </pic:pic>
              </a:graphicData>
            </a:graphic>
          </wp:inline>
        </w:drawing>
      </w:r>
    </w:p>
    <w:p>
      <w:pPr>
        <w:jc w:val="center"/>
      </w:pPr>
      <w:r>
        <w:rPr>
          <w:b/>
        </w:rPr>
        <w:t>Figure 6: Average ADR by Hotel Type</w:t>
      </w:r>
    </w:p>
    <w:p>
      <w:r>
        <w:t>Interpretation: The comparison shows that the average ADR differs between the two hotel types, providing a direct view of pricing differences in the cleaned dataset.</w:t>
      </w:r>
    </w:p>
    <w:p>
      <w:pPr>
        <w:pStyle w:val="Heading1"/>
      </w:pPr>
      <w:r>
        <w:t>7. Key Findings</w:t>
      </w:r>
    </w:p>
    <w:p>
      <w:pPr>
        <w:pStyle w:val="ListBullet"/>
      </w:pPr>
      <w:r>
        <w:t>The dataset contains substantial variation in booking activity across arrival months, indicating seasonal differences.</w:t>
      </w:r>
    </w:p>
    <w:p>
      <w:pPr>
        <w:pStyle w:val="ListBullet"/>
      </w:pPr>
      <w:r>
        <w:t>Booking volume is not evenly distributed across customer types or market segments.</w:t>
      </w:r>
    </w:p>
    <w:p>
      <w:pPr>
        <w:pStyle w:val="ListBullet"/>
      </w:pPr>
      <w:r>
        <w:t>Cancellation analysis shows that both cancelled and non-cancelled bookings are present in substantial numbers; the overall cancellation rate calculated in the notebook was approximately 27.49%.</w:t>
      </w:r>
    </w:p>
    <w:p>
      <w:pPr>
        <w:pStyle w:val="ListBullet"/>
      </w:pPr>
      <w:r>
        <w:t>ADR is concentrated mainly in the lower-to-middle range, with fewer observations at higher rates.</w:t>
      </w:r>
    </w:p>
    <w:p>
      <w:pPr>
        <w:pStyle w:val="ListBullet"/>
      </w:pPr>
      <w:r>
        <w:t>The lead-time and ADR scatter plot shows considerable variation and helps identify the distribution of bookings across different lead-time and pricing levels.</w:t>
      </w:r>
    </w:p>
    <w:p>
      <w:pPr>
        <w:pStyle w:val="ListBullet"/>
      </w:pPr>
      <w:r>
        <w:t>The correlation heatmap provides a compact view of relationships among numerical variables and supports identification of variables that may warrant deeper analysis.</w:t>
      </w:r>
    </w:p>
    <w:p>
      <w:pPr>
        <w:pStyle w:val="Heading1"/>
      </w:pPr>
      <w:r>
        <w:t>8. Data Transformations and Aggregations</w:t>
      </w:r>
    </w:p>
    <w:p>
      <w:r>
        <w:t>The EDA used value counts, groupby aggregations, cross-tabulations, mean and median calculations, and correlation calculations. These operations converted the row-level booking data into summaries that could be compared visually.</w:t>
      </w:r>
    </w:p>
    <w:p>
      <w:pPr>
        <w:pStyle w:val="Heading1"/>
      </w:pPr>
      <w:r>
        <w:t>9. Conclusion</w:t>
      </w:r>
    </w:p>
    <w:p>
      <w:r>
        <w:t>The Week 2 EDA provided a structured understanding of the hotel booking dataset. The analysis identified differences in booking volume across time, customer categories, and market segments, while visual analysis of ADR, lead time, and numerical correlations revealed additional patterns and relationships. The selected visualizations make the main findings easier to communicate and provide a foundation for further analysis or modeling.</w:t>
      </w:r>
    </w:p>
    <w:p>
      <w:pPr>
        <w:pStyle w:val="Heading1"/>
      </w:pPr>
      <w:r>
        <w:t>10. Recommended Visualization Set</w:t>
      </w:r>
    </w:p>
    <w:p>
      <w:r>
        <w:t>For the final submission, the following seven visuals are sufficient; adding every similar chart is not necessary:</w:t>
      </w:r>
    </w:p>
    <w:p>
      <w:pPr>
        <w:pStyle w:val="ListNumber"/>
      </w:pPr>
      <w:r>
        <w:t>Monthly Booking Count</w:t>
      </w:r>
    </w:p>
    <w:p>
      <w:pPr>
        <w:pStyle w:val="ListNumber"/>
      </w:pPr>
      <w:r>
        <w:t>Booking Count by Customer Type</w:t>
      </w:r>
    </w:p>
    <w:p>
      <w:pPr>
        <w:pStyle w:val="ListNumber"/>
      </w:pPr>
      <w:r>
        <w:t>Booking Count by Market Segment</w:t>
      </w:r>
    </w:p>
    <w:p>
      <w:pPr>
        <w:pStyle w:val="ListNumber"/>
      </w:pPr>
      <w:r>
        <w:t>Correlation Heatmap</w:t>
      </w:r>
    </w:p>
    <w:p>
      <w:pPr>
        <w:pStyle w:val="ListNumber"/>
      </w:pPr>
      <w:r>
        <w:t>Lead Time vs ADR scatter plot</w:t>
      </w:r>
    </w:p>
    <w:p>
      <w:pPr>
        <w:pStyle w:val="ListNumber"/>
      </w:pPr>
      <w:r>
        <w:t>Average ADR by Hotel Type</w:t>
      </w:r>
    </w:p>
    <w:p>
      <w:pPr>
        <w:pStyle w:val="ListNumber"/>
      </w:pPr>
      <w:r>
        <w:t>ADR Distribution histogram (the graph shown in the latest screenshot)</w:t>
      </w:r>
    </w:p>
    <w:p>
      <w:r>
        <w:t>Note: The ADR Distribution histogram should be placed immediately after the ADR analysis subsection if the original notebook screenshot is available. It is especially useful because it directly shows the distribution of the main pricing variable.</w:t>
      </w:r>
    </w:p>
    <w:p>
      <w:pPr>
        <w:pStyle w:val="Heading1"/>
      </w:pPr>
      <w:r>
        <w:t>11. Deliverables</w:t>
      </w:r>
    </w:p>
    <w:p>
      <w:pPr>
        <w:pStyle w:val="ListBullet"/>
      </w:pPr>
      <w:r>
        <w:t>Week 2 EDA and Visualization report (DOCX)</w:t>
      </w:r>
    </w:p>
    <w:p>
      <w:pPr>
        <w:pStyle w:val="ListBullet"/>
      </w:pPr>
      <w:r>
        <w:t>Week 2 Jupyter Notebook</w:t>
      </w:r>
    </w:p>
    <w:p>
      <w:pPr>
        <w:pStyle w:val="ListBullet"/>
      </w:pPr>
      <w:r>
        <w:t>Cleaned hotel booking dataset used for analysis</w:t>
      </w:r>
    </w:p>
    <w:p>
      <w:pPr>
        <w:pStyle w:val="ListBullet"/>
      </w:pPr>
      <w:r>
        <w:t>Selected visualizations with interpretations</w:t>
      </w:r>
    </w:p>
    <w:p>
      <w:pPr>
        <w:pStyle w:val="ListBullet"/>
      </w:pPr>
      <w:r>
        <w:t>GitHub repository containing the Week 2 project files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