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Test Summary Report: Task Management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1.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report summarizes the testing activities conducted on the TaskMaster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2. Test Scope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Core CRUD operations for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Task completion status toggle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Data persistence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3. Test Execution Summary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Total Test Cases: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Passed: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Failed: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Pass Percentage: 100%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4. Defects Summary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Total Defects: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High Priority: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Medium Priority: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Low Priority: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5. Key Findings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The TaskMaster application is functioning as expected for core operations.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 minor usability issue was identified regarding empty task titles.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6. Recommendations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Address the identified defect (DEF001) to improve user experience.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Consider adding more validation checks for user inputs.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Expand test coverage to include edge cases and stress testing.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7. Conclusion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TaskMaster application meets the basic requirements and is ready for use. However, addressing the identified issue and expanding test coverage is recommended for improved quality.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Prepared By: [Your Name]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Date: [Current Date]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