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245" w14:textId="77777777" w:rsidR="0097271B" w:rsidRDefault="00C46B94">
      <w:pPr>
        <w:spacing w:before="1920"/>
        <w:jc w:val="center"/>
      </w:pPr>
      <w:r>
        <w:rPr>
          <w:rFonts w:ascii="Times New Roman" w:hAnsi="Times New Roman"/>
          <w:b/>
          <w:sz w:val="44"/>
        </w:rPr>
        <w:t>Digital Platforms and Algorithmic Management</w:t>
      </w:r>
    </w:p>
    <w:p w14:paraId="2C5ACFB2" w14:textId="77777777" w:rsidR="0097271B" w:rsidRDefault="00C46B94">
      <w:pPr>
        <w:jc w:val="center"/>
      </w:pPr>
      <w:r>
        <w:rPr>
          <w:rFonts w:ascii="Times New Roman" w:hAnsi="Times New Roman"/>
          <w:i/>
          <w:sz w:val="32"/>
        </w:rPr>
        <w:t>Constructs, Measurement Scales, and a Research Model for Gig Worker Perceptions</w:t>
      </w:r>
    </w:p>
    <w:p w14:paraId="32DEB89B" w14:textId="77777777" w:rsidR="0097271B" w:rsidRDefault="00C46B94">
      <w:pPr>
        <w:spacing w:before="1440"/>
        <w:jc w:val="center"/>
      </w:pPr>
      <w:r>
        <w:rPr>
          <w:rFonts w:ascii="Times New Roman" w:hAnsi="Times New Roman"/>
          <w:sz w:val="28"/>
        </w:rPr>
        <w:t>A Literature Review with Research Questions,</w:t>
      </w:r>
      <w:r>
        <w:rPr>
          <w:rFonts w:ascii="Times New Roman" w:hAnsi="Times New Roman"/>
          <w:sz w:val="28"/>
        </w:rPr>
        <w:br/>
        <w:t>Research Model, and Survey Instrument</w:t>
      </w:r>
    </w:p>
    <w:p w14:paraId="255CDD17" w14:textId="77777777" w:rsidR="0097271B" w:rsidRDefault="00C46B94">
      <w:pPr>
        <w:spacing w:before="2800"/>
        <w:jc w:val="center"/>
      </w:pPr>
      <w:r>
        <w:rPr>
          <w:rFonts w:ascii="Times New Roman" w:hAnsi="Times New Roman"/>
        </w:rPr>
        <w:t>Compiled for</w:t>
      </w:r>
    </w:p>
    <w:p w14:paraId="769A7978" w14:textId="77777777" w:rsidR="0097271B" w:rsidRDefault="00C46B94">
      <w:pPr>
        <w:jc w:val="center"/>
      </w:pPr>
      <w:r>
        <w:rPr>
          <w:rFonts w:ascii="Times New Roman" w:hAnsi="Times New Roman"/>
          <w:b/>
          <w:sz w:val="28"/>
        </w:rPr>
        <w:t>Milind KAMAT</w:t>
      </w:r>
    </w:p>
    <w:p w14:paraId="1F32E0B0" w14:textId="77777777" w:rsidR="0097271B" w:rsidRDefault="00C46B94">
      <w:pPr>
        <w:spacing w:before="1920"/>
        <w:jc w:val="center"/>
      </w:pPr>
      <w:r>
        <w:rPr>
          <w:rFonts w:ascii="Times New Roman" w:hAnsi="Times New Roman"/>
        </w:rPr>
        <w:t>2026</w:t>
      </w:r>
    </w:p>
    <w:p w14:paraId="7DE28F95" w14:textId="77777777" w:rsidR="0097271B" w:rsidRDefault="00C46B94">
      <w:r>
        <w:br w:type="page"/>
      </w:r>
    </w:p>
    <w:p w14:paraId="77AB4A8D" w14:textId="77777777" w:rsidR="0097271B" w:rsidRDefault="00C46B94">
      <w:pPr>
        <w:pStyle w:val="Heading1"/>
      </w:pPr>
      <w:r>
        <w:rPr>
          <w:rFonts w:ascii="Arial" w:hAnsi="Arial"/>
        </w:rPr>
        <w:lastRenderedPageBreak/>
        <w:t>Abstract</w:t>
      </w:r>
    </w:p>
    <w:p w14:paraId="0157F425" w14:textId="77777777" w:rsidR="0097271B" w:rsidRDefault="00C46B94">
      <w:pPr>
        <w:jc w:val="both"/>
      </w:pPr>
      <w:r>
        <w:t>This literature review synthesises A star ranked scholarship on digital platforms and algorithmic management with a research model routing algorithmic decisions through worker perceptions and satisfaction to loyalty, voice, and exit outcomes. Seven qualitative or conceptual papers from the Australian Business Deans Council 2022 A star list (Kellogg, Valentine and Christin, 2020; Curchod et al., 2020; Rahman, 2021; Mohlmann et al., 2021; Cameron and Rahman, 2022; Cameron, 2022; Vallas and Schor, 2020) provid</w:t>
      </w:r>
      <w:r>
        <w:t>e the theoretical constructs. Nine subsequent empirical papers published between 2021 and 2026 supply the validated multi item Likert scales. Journals include Human Resource Management, European Journal of Information Systems, and Information Technology and People. These scales operationalise the constructs for gig worker self report. Four decision types (matching, task allocation, compensation, control) act on three worker perception constructs: perceived algorithmic control, perceived algorithmic fairness</w:t>
      </w:r>
      <w:r>
        <w:t>, and perceived transparency. Those perceptions feed platform satisfaction and route to a Hirschman (1970) triad of loyalty, voice, and exit. Two gaps are visible in the current literature. First, no dedicated satisfaction scale exists for algorithmic management contexts. Second, the exit construct is measured only through configurational person centred analysis rather than a Likert instrument. The document supplies a ready to field composite survey with six construct blocks and every item quoted verbatim f</w:t>
      </w:r>
      <w:r>
        <w:t>rom its source. The three research questions in Section 1.3 are framed for agentic AI and generative AI methods rather than variance based inference. Each targets a distinct stakeholder: platform companies (algorithmic management redesign), product management teams (feature backlog synthesis), and regulators (adaptive policy stress testing). Contribution: a single reference that closes the qualitative to quantitative gap in the algorithmic management literature and gives doctoral candidates a validated cons</w:t>
      </w:r>
      <w:r>
        <w:t>truct backbone for stakeholder targeted agentic AI research in Indian and comparable gig markets.</w:t>
      </w:r>
    </w:p>
    <w:p w14:paraId="263DD8BB" w14:textId="77777777" w:rsidR="0097271B" w:rsidRDefault="00C46B94">
      <w:pPr>
        <w:jc w:val="both"/>
      </w:pPr>
      <w:r>
        <w:rPr>
          <w:i/>
          <w:sz w:val="22"/>
        </w:rPr>
        <w:t>Keywords: digital platform, algorithmic management, gig economy, perceived algorithmic control, perceived fairness, transparency, satisfaction, continuance intention, algoactivism, Hirschman loyalty voice exit.</w:t>
      </w:r>
    </w:p>
    <w:p w14:paraId="2DB034A2" w14:textId="77777777" w:rsidR="0097271B" w:rsidRDefault="00C46B94">
      <w:r>
        <w:br w:type="page"/>
      </w:r>
    </w:p>
    <w:p w14:paraId="5BE000C1" w14:textId="77777777" w:rsidR="0097271B" w:rsidRDefault="00C46B94">
      <w:pPr>
        <w:pStyle w:val="Heading1"/>
      </w:pPr>
      <w:r>
        <w:rPr>
          <w:rFonts w:ascii="Arial" w:hAnsi="Arial"/>
        </w:rPr>
        <w:lastRenderedPageBreak/>
        <w:t>Table of Contents</w:t>
      </w:r>
    </w:p>
    <w:p w14:paraId="3B89E2C3" w14:textId="77777777" w:rsidR="0097271B" w:rsidRDefault="00C46B94">
      <w:pPr>
        <w:jc w:val="both"/>
      </w:pPr>
      <w:r>
        <w:t>1. Introduction</w:t>
      </w:r>
    </w:p>
    <w:p w14:paraId="33CD318D" w14:textId="77777777" w:rsidR="0097271B" w:rsidRDefault="00C46B94">
      <w:pPr>
        <w:ind w:left="283"/>
        <w:jc w:val="both"/>
      </w:pPr>
      <w:r>
        <w:t xml:space="preserve">    1.1 Digital platforms and the growth of the gig economy</w:t>
      </w:r>
    </w:p>
    <w:p w14:paraId="61F2B87A" w14:textId="77777777" w:rsidR="0097271B" w:rsidRDefault="00C46B94">
      <w:pPr>
        <w:ind w:left="283"/>
        <w:jc w:val="both"/>
      </w:pPr>
      <w:r>
        <w:t xml:space="preserve">    1.2 Algorithmic management as a construct family</w:t>
      </w:r>
    </w:p>
    <w:p w14:paraId="379BFA63" w14:textId="77777777" w:rsidR="0097271B" w:rsidRDefault="00C46B94">
      <w:pPr>
        <w:ind w:left="567"/>
        <w:jc w:val="both"/>
      </w:pPr>
      <w:r>
        <w:t xml:space="preserve">        1.2.1 Matching</w:t>
      </w:r>
    </w:p>
    <w:p w14:paraId="75E1682D" w14:textId="77777777" w:rsidR="0097271B" w:rsidRDefault="00C46B94">
      <w:pPr>
        <w:ind w:left="567"/>
        <w:jc w:val="both"/>
      </w:pPr>
      <w:r>
        <w:t xml:space="preserve">        1.2.2 Task allocation</w:t>
      </w:r>
    </w:p>
    <w:p w14:paraId="636679BC" w14:textId="77777777" w:rsidR="0097271B" w:rsidRDefault="00C46B94">
      <w:pPr>
        <w:ind w:left="567"/>
        <w:jc w:val="both"/>
      </w:pPr>
      <w:r>
        <w:t xml:space="preserve">        1.2.3 Compensation</w:t>
      </w:r>
    </w:p>
    <w:p w14:paraId="6D591702" w14:textId="77777777" w:rsidR="0097271B" w:rsidRDefault="00C46B94">
      <w:pPr>
        <w:ind w:left="567"/>
        <w:jc w:val="both"/>
      </w:pPr>
      <w:r>
        <w:t xml:space="preserve">        1.2.4 Control</w:t>
      </w:r>
    </w:p>
    <w:p w14:paraId="0DD48F48" w14:textId="77777777" w:rsidR="0097271B" w:rsidRDefault="00C46B94">
      <w:pPr>
        <w:ind w:left="283"/>
        <w:jc w:val="both"/>
      </w:pPr>
      <w:r>
        <w:t xml:space="preserve">    1.3 Research questions</w:t>
      </w:r>
    </w:p>
    <w:p w14:paraId="2E8971D5" w14:textId="77777777" w:rsidR="0097271B" w:rsidRDefault="00C46B94">
      <w:pPr>
        <w:ind w:left="283"/>
        <w:jc w:val="both"/>
      </w:pPr>
      <w:r>
        <w:t xml:space="preserve">    1.4 Research model</w:t>
      </w:r>
    </w:p>
    <w:p w14:paraId="69E0C674" w14:textId="77777777" w:rsidR="0097271B" w:rsidRDefault="00C46B94">
      <w:pPr>
        <w:jc w:val="both"/>
      </w:pPr>
      <w:r>
        <w:t>2. Gig worker perceptions, challenges, regulations, and perceptions about the platform</w:t>
      </w:r>
    </w:p>
    <w:p w14:paraId="6F2A3451" w14:textId="77777777" w:rsidR="0097271B" w:rsidRDefault="00C46B94">
      <w:pPr>
        <w:ind w:left="283"/>
        <w:jc w:val="both"/>
      </w:pPr>
      <w:r>
        <w:t xml:space="preserve">    2.1 Constructs and validated scales, paper by paper</w:t>
      </w:r>
    </w:p>
    <w:p w14:paraId="41260202" w14:textId="77777777" w:rsidR="0097271B" w:rsidRDefault="00C46B94">
      <w:pPr>
        <w:jc w:val="both"/>
      </w:pPr>
      <w:r>
        <w:t>3. Gig worker job satisfaction</w:t>
      </w:r>
    </w:p>
    <w:p w14:paraId="6A27E6DB" w14:textId="77777777" w:rsidR="0097271B" w:rsidRDefault="00C46B94">
      <w:pPr>
        <w:jc w:val="both"/>
      </w:pPr>
      <w:r>
        <w:t>4. Outcomes</w:t>
      </w:r>
    </w:p>
    <w:p w14:paraId="17D0617D" w14:textId="77777777" w:rsidR="0097271B" w:rsidRDefault="00C46B94">
      <w:pPr>
        <w:ind w:left="283"/>
        <w:jc w:val="both"/>
      </w:pPr>
      <w:r>
        <w:t xml:space="preserve">    4.1 Platform loyalty (continuance intention)</w:t>
      </w:r>
    </w:p>
    <w:p w14:paraId="3038AA8A" w14:textId="77777777" w:rsidR="0097271B" w:rsidRDefault="00C46B94">
      <w:pPr>
        <w:ind w:left="283"/>
        <w:jc w:val="both"/>
      </w:pPr>
      <w:r>
        <w:t xml:space="preserve">    4.2 Voice (algoactivism and governance demand)</w:t>
      </w:r>
    </w:p>
    <w:p w14:paraId="08F33778" w14:textId="77777777" w:rsidR="0097271B" w:rsidRDefault="00C46B94">
      <w:pPr>
        <w:ind w:left="283"/>
        <w:jc w:val="both"/>
      </w:pPr>
      <w:r>
        <w:t xml:space="preserve">    4.3 Exit (turnover intention)</w:t>
      </w:r>
    </w:p>
    <w:p w14:paraId="75A3A712" w14:textId="77777777" w:rsidR="0097271B" w:rsidRDefault="00C46B94">
      <w:pPr>
        <w:jc w:val="both"/>
      </w:pPr>
      <w:r>
        <w:t>5. Methodological literature review: agentic AI, digital twins, and research methods</w:t>
      </w:r>
    </w:p>
    <w:p w14:paraId="224D4B63" w14:textId="77777777" w:rsidR="0097271B" w:rsidRDefault="00C46B94">
      <w:pPr>
        <w:ind w:left="283"/>
        <w:jc w:val="both"/>
      </w:pPr>
      <w:r>
        <w:t xml:space="preserve">    5.1 Generative AI in research methods</w:t>
      </w:r>
    </w:p>
    <w:p w14:paraId="0A51D389" w14:textId="77777777" w:rsidR="0097271B" w:rsidRDefault="00C46B94">
      <w:pPr>
        <w:ind w:left="283"/>
        <w:jc w:val="both"/>
      </w:pPr>
      <w:r>
        <w:t xml:space="preserve">    5.2 AI agents in research methods</w:t>
      </w:r>
    </w:p>
    <w:p w14:paraId="002CD596" w14:textId="77777777" w:rsidR="0097271B" w:rsidRDefault="00C46B94">
      <w:pPr>
        <w:ind w:left="283"/>
        <w:jc w:val="both"/>
      </w:pPr>
      <w:r>
        <w:t xml:space="preserve">    5.3 Agentic AI and multi agent orchestration in research methods</w:t>
      </w:r>
    </w:p>
    <w:p w14:paraId="530A926A" w14:textId="77777777" w:rsidR="0097271B" w:rsidRDefault="00C46B94">
      <w:pPr>
        <w:ind w:left="283"/>
        <w:jc w:val="both"/>
      </w:pPr>
      <w:r>
        <w:t xml:space="preserve">    5.4 Digital twins of human study subjects</w:t>
      </w:r>
    </w:p>
    <w:p w14:paraId="579FCBD1" w14:textId="77777777" w:rsidR="0097271B" w:rsidRDefault="00C46B94">
      <w:pPr>
        <w:ind w:left="283"/>
        <w:jc w:val="both"/>
      </w:pPr>
      <w:r>
        <w:t xml:space="preserve">    5.5 Constitutive contributions to research methods</w:t>
      </w:r>
    </w:p>
    <w:p w14:paraId="285AFAF3" w14:textId="77777777" w:rsidR="0097271B" w:rsidRDefault="00C46B94">
      <w:pPr>
        <w:ind w:left="283"/>
        <w:jc w:val="both"/>
      </w:pPr>
      <w:r>
        <w:t xml:space="preserve">    5.6 What is missed on agents, present limitations, and new research possibilities</w:t>
      </w:r>
    </w:p>
    <w:p w14:paraId="455A16F1" w14:textId="77777777" w:rsidR="0097271B" w:rsidRDefault="00C46B94">
      <w:pPr>
        <w:ind w:left="567"/>
        <w:jc w:val="both"/>
      </w:pPr>
      <w:r>
        <w:lastRenderedPageBreak/>
        <w:t xml:space="preserve">        5.6.1 Coverage missed in the agent literature review</w:t>
      </w:r>
    </w:p>
    <w:p w14:paraId="2C2EED26" w14:textId="77777777" w:rsidR="0097271B" w:rsidRDefault="00C46B94">
      <w:pPr>
        <w:ind w:left="567"/>
        <w:jc w:val="both"/>
      </w:pPr>
      <w:r>
        <w:t xml:space="preserve">        5.6.2 Present limitations across the four method families</w:t>
      </w:r>
    </w:p>
    <w:p w14:paraId="1F4C9D3A" w14:textId="77777777" w:rsidR="0097271B" w:rsidRDefault="00C46B94">
      <w:pPr>
        <w:ind w:left="567"/>
        <w:jc w:val="both"/>
      </w:pPr>
      <w:r>
        <w:t xml:space="preserve">        5.6.3 New research possibilities opened by the four method families</w:t>
      </w:r>
    </w:p>
    <w:p w14:paraId="59388C6A" w14:textId="77777777" w:rsidR="0097271B" w:rsidRDefault="00C46B94">
      <w:pPr>
        <w:jc w:val="both"/>
      </w:pPr>
      <w:r>
        <w:t>6. Proposed survey instrument</w:t>
      </w:r>
    </w:p>
    <w:p w14:paraId="696FB03F" w14:textId="77777777" w:rsidR="0097271B" w:rsidRDefault="00C46B94">
      <w:pPr>
        <w:ind w:left="283"/>
        <w:jc w:val="both"/>
      </w:pPr>
      <w:r>
        <w:t xml:space="preserve">    6.1 Composite survey instrument</w:t>
      </w:r>
    </w:p>
    <w:p w14:paraId="7CC956BF" w14:textId="77777777" w:rsidR="0097271B" w:rsidRDefault="00C46B94">
      <w:pPr>
        <w:ind w:left="283"/>
        <w:jc w:val="both"/>
      </w:pPr>
      <w:r>
        <w:t xml:space="preserve">    6.2 Survey deployment</w:t>
      </w:r>
    </w:p>
    <w:p w14:paraId="5311D2E0" w14:textId="77777777" w:rsidR="0097271B" w:rsidRDefault="00C46B94">
      <w:pPr>
        <w:ind w:left="567"/>
        <w:jc w:val="both"/>
      </w:pPr>
      <w:r>
        <w:t xml:space="preserve">        6.2.1 Section I. Research scope and objectives</w:t>
      </w:r>
    </w:p>
    <w:p w14:paraId="6DD3AE05" w14:textId="77777777" w:rsidR="0097271B" w:rsidRDefault="00C46B94">
      <w:pPr>
        <w:ind w:left="567"/>
        <w:jc w:val="both"/>
      </w:pPr>
      <w:r>
        <w:t xml:space="preserve">        6.2.2 Section II. Eligibility to participate</w:t>
      </w:r>
    </w:p>
    <w:p w14:paraId="6CC7DD11" w14:textId="77777777" w:rsidR="0097271B" w:rsidRDefault="00C46B94">
      <w:pPr>
        <w:ind w:left="567"/>
        <w:jc w:val="both"/>
      </w:pPr>
      <w:r>
        <w:t xml:space="preserve">        6.2.3 Section III. Information rights, confidentiality, and informed consent</w:t>
      </w:r>
    </w:p>
    <w:p w14:paraId="4A78BAB4" w14:textId="77777777" w:rsidR="0097271B" w:rsidRDefault="00C46B94">
      <w:pPr>
        <w:ind w:left="567"/>
        <w:jc w:val="both"/>
      </w:pPr>
      <w:r>
        <w:t xml:space="preserve">        6.2.4 Pilot sampling frame</w:t>
      </w:r>
    </w:p>
    <w:p w14:paraId="149F6A07" w14:textId="77777777" w:rsidR="0097271B" w:rsidRDefault="00C46B94">
      <w:pPr>
        <w:jc w:val="both"/>
      </w:pPr>
      <w:r>
        <w:t>7. Notes and limitations</w:t>
      </w:r>
    </w:p>
    <w:p w14:paraId="42B351D4" w14:textId="77777777" w:rsidR="0097271B" w:rsidRDefault="00C46B94">
      <w:pPr>
        <w:jc w:val="both"/>
      </w:pPr>
      <w:r>
        <w:t>References</w:t>
      </w:r>
    </w:p>
    <w:p w14:paraId="74571033" w14:textId="77777777" w:rsidR="0097271B" w:rsidRDefault="00C46B94">
      <w:r>
        <w:br w:type="page"/>
      </w:r>
    </w:p>
    <w:p w14:paraId="4B155ABB" w14:textId="77777777" w:rsidR="0097271B" w:rsidRDefault="00C46B94">
      <w:pPr>
        <w:pStyle w:val="Heading1"/>
      </w:pPr>
      <w:r>
        <w:rPr>
          <w:rFonts w:ascii="Arial" w:hAnsi="Arial"/>
        </w:rPr>
        <w:lastRenderedPageBreak/>
        <w:t>1. Introduction</w:t>
      </w:r>
    </w:p>
    <w:p w14:paraId="0D46887C" w14:textId="77777777" w:rsidR="0097271B" w:rsidRDefault="00C46B94">
      <w:pPr>
        <w:jc w:val="both"/>
      </w:pPr>
      <w:r>
        <w:t>Digital platforms have reorganised how work is matched, priced, monitored, and rewarded. Algorithms now perform many decisions that supervisors once made, and the workers who receive those decisions do so through an app rather than a foreman. This literature review traces the theoretical and empirical scholarship that has followed the shift and structures the constructs into a research model applicable to Indian ride hailing and delivery platforms such as Uber, Ola, and Swiggy. The chapter proceeds from mac</w:t>
      </w:r>
      <w:r>
        <w:t>ro context to specific constructs. Section 1.1 sizes the gig economy globally and in India using Organisation for Economic Cooperation and Development, McKinsey Global Institute, and NITI Aayog data. Section 1.2 decomposes algorithmic management into four decision types (matching, task allocation, compensation, control), each of which acts on the worker and feeds a distinct perception construct. Sections 1.3 and 1.4 close the introduction with research questions and the research model that organises the res</w:t>
      </w:r>
      <w:r>
        <w:t>t of the document.</w:t>
      </w:r>
    </w:p>
    <w:p w14:paraId="65EEBAA3" w14:textId="77777777" w:rsidR="0097271B" w:rsidRDefault="00C46B94">
      <w:pPr>
        <w:pStyle w:val="Heading2"/>
      </w:pPr>
      <w:r>
        <w:rPr>
          <w:rFonts w:ascii="Arial" w:hAnsi="Arial"/>
        </w:rPr>
        <w:t>1.1 Digital platforms and the growth of the gig economy</w:t>
      </w:r>
    </w:p>
    <w:p w14:paraId="127AE4E5" w14:textId="77777777" w:rsidR="0097271B" w:rsidRDefault="00C46B94">
      <w:pPr>
        <w:jc w:val="both"/>
      </w:pPr>
      <w:r>
        <w:t>The gig economy reached USD 556.7 billion in 2024 and is projected to exceed USD 1.8 trillion by 2032, a 3.3 times expansion in eight years (World Economic Forum, 2024). The McKinsey Global Institute (2016) surveyed about 8,000 respondents across Europe and the United States. Up to 162 million people, or 20 to 30 per cent of the working age population, engaged in some form of independent work. A subsequent McKinsey American Opportunity Survey found that 36 per cent of United States respondents identified as</w:t>
      </w:r>
      <w:r>
        <w:t xml:space="preserve"> independent workers, representing close to 60 million workers (McKinsey and Company, 2022). The International Labour Organization (2021) reported that the number of digital labour platforms grew fivefold in the decade to 2020. The Organisation for Economic Cooperation and Development (2019) cautioned that gig platforms remained 1 to 3 per cent of total employment across member states. Most growth was concentrated in services industries with high shares of own account workers, suggesting substitution for tr</w:t>
      </w:r>
      <w:r>
        <w:t xml:space="preserve">aditional self employment rather than for standard payroll jobs. The size dispute is therefore not about direction but about </w:t>
      </w:r>
      <w:r>
        <w:lastRenderedPageBreak/>
        <w:t>denominator, and the choice of denominator determines whether platform work reads as a niche or a mainstream phenomenon.</w:t>
      </w:r>
    </w:p>
    <w:p w14:paraId="0FABEB54" w14:textId="77777777" w:rsidR="0097271B" w:rsidRDefault="00C46B94">
      <w:pPr>
        <w:jc w:val="center"/>
      </w:pPr>
      <w:r>
        <w:rPr>
          <w:noProof/>
        </w:rPr>
        <w:drawing>
          <wp:inline distT="0" distB="0" distL="0" distR="0" wp14:anchorId="18523161" wp14:editId="243D145B">
            <wp:extent cx="5120640" cy="2914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global_gig_market.png"/>
                    <pic:cNvPicPr/>
                  </pic:nvPicPr>
                  <pic:blipFill>
                    <a:blip r:embed="rId6"/>
                    <a:stretch>
                      <a:fillRect/>
                    </a:stretch>
                  </pic:blipFill>
                  <pic:spPr>
                    <a:xfrm>
                      <a:off x="0" y="0"/>
                      <a:ext cx="5120640" cy="2914739"/>
                    </a:xfrm>
                    <a:prstGeom prst="rect">
                      <a:avLst/>
                    </a:prstGeom>
                  </pic:spPr>
                </pic:pic>
              </a:graphicData>
            </a:graphic>
          </wp:inline>
        </w:drawing>
      </w:r>
    </w:p>
    <w:p w14:paraId="516FA997" w14:textId="77777777" w:rsidR="0097271B" w:rsidRDefault="00C46B94">
      <w:pPr>
        <w:spacing w:before="80" w:after="240"/>
        <w:jc w:val="center"/>
      </w:pPr>
      <w:r>
        <w:rPr>
          <w:i/>
          <w:sz w:val="22"/>
        </w:rPr>
        <w:t>Figure 1.1  Global gig economy market size, 2024 baseline and 2032 projection (USD billions).</w:t>
      </w:r>
    </w:p>
    <w:p w14:paraId="43C9E8E9" w14:textId="77777777" w:rsidR="0097271B" w:rsidRDefault="00C46B94">
      <w:pPr>
        <w:jc w:val="both"/>
      </w:pPr>
      <w:r>
        <w:t>India presents a distinct trajectory driven by low cost internet, smartphone penetration, and the Digital India programme. NITI Aayog (2022) estimated the Indian gig workforce at 7.7 million in 2020 to 2021, or 2.6 per cent of the non agricultural workforce and 1.5 per cent of total livelihood. The projection for 2029 to 2030 is 23.5 million workers, or 6.7 per cent of the non agricultural workforce and 4.1 per cent of total livelihood. The International Labour Organization (2023) endorsed the projection an</w:t>
      </w:r>
      <w:r>
        <w:t>d highlighted the Code on Social Security 2020 as the first Indian statute to bring gig and platform workers within a social protection frame. Almost 90 per cent of the Indian workforce remains in the unorganised sector (International Labour Organization, 2020), and platform work is one of the few channels offering a documented digital income record to workers who would otherwise have no formal earnings trail. The Indian market therefore matters not because it is the largest but because platform work here s</w:t>
      </w:r>
      <w:r>
        <w:t>ubstitutes for informal work rather than for payroll employment, which changes the welfare calculation the OECD framework assumes.</w:t>
      </w:r>
    </w:p>
    <w:p w14:paraId="33F9116E" w14:textId="77777777" w:rsidR="0097271B" w:rsidRDefault="00C46B94">
      <w:pPr>
        <w:jc w:val="center"/>
      </w:pPr>
      <w:r>
        <w:rPr>
          <w:noProof/>
        </w:rPr>
        <w:lastRenderedPageBreak/>
        <w:drawing>
          <wp:inline distT="0" distB="0" distL="0" distR="0" wp14:anchorId="5642B0C9" wp14:editId="57850508">
            <wp:extent cx="5120640" cy="2947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india_gig_workforce.png"/>
                    <pic:cNvPicPr/>
                  </pic:nvPicPr>
                  <pic:blipFill>
                    <a:blip r:embed="rId7"/>
                    <a:stretch>
                      <a:fillRect/>
                    </a:stretch>
                  </pic:blipFill>
                  <pic:spPr>
                    <a:xfrm>
                      <a:off x="0" y="0"/>
                      <a:ext cx="5120640" cy="2947378"/>
                    </a:xfrm>
                    <a:prstGeom prst="rect">
                      <a:avLst/>
                    </a:prstGeom>
                  </pic:spPr>
                </pic:pic>
              </a:graphicData>
            </a:graphic>
          </wp:inline>
        </w:drawing>
      </w:r>
    </w:p>
    <w:p w14:paraId="751E7A2E" w14:textId="77777777" w:rsidR="0097271B" w:rsidRDefault="00C46B94">
      <w:pPr>
        <w:spacing w:before="80" w:after="240"/>
        <w:jc w:val="center"/>
      </w:pPr>
      <w:r>
        <w:rPr>
          <w:i/>
          <w:sz w:val="22"/>
        </w:rPr>
        <w:t>Figure 1.2  India gig workforce, NITI Aayog baseline and 2029 to 2030 projection (millions).</w:t>
      </w:r>
    </w:p>
    <w:p w14:paraId="2D423305" w14:textId="77777777" w:rsidR="0097271B" w:rsidRDefault="00C46B94">
      <w:pPr>
        <w:jc w:val="both"/>
      </w:pPr>
      <w:r>
        <w:t>The growth data establish the scale of the phenomenon; the discussion now turns to how these platforms actually govern the workers they route work to.</w:t>
      </w:r>
    </w:p>
    <w:p w14:paraId="5FAC077A" w14:textId="77777777" w:rsidR="0097271B" w:rsidRDefault="00C46B94">
      <w:pPr>
        <w:pStyle w:val="Heading2"/>
      </w:pPr>
      <w:r>
        <w:rPr>
          <w:rFonts w:ascii="Arial" w:hAnsi="Arial"/>
        </w:rPr>
        <w:t>1.2 Algorithmic management as a construct family</w:t>
      </w:r>
    </w:p>
    <w:p w14:paraId="65A7CA28" w14:textId="77777777" w:rsidR="0097271B" w:rsidRDefault="00C46B94">
      <w:pPr>
        <w:jc w:val="both"/>
      </w:pPr>
      <w:r>
        <w:t>Algorithmic management refers to the software mediated set of decisions that classical management scholarship attributed to human supervisors (Kellogg, Valentine and Christin, 2020). Parent Rocheleau et al. (2024) validated a five dimension Algorithmic Management Questionnaire on 1,332 gig workers and organised the construct into monitoring, goal setting, scheduling, performance rating, and compensation. Mohlmann et al. (2021) reduced the decision space to two orthogonal families, matching and control, usin</w:t>
      </w:r>
      <w:r>
        <w:t>g grounded theory on Uber drivers. This document folds those two mappings into four decision types: matching, task allocation, compensation, and control. The four decision view aligns with how ride hailing and delivery platforms actually present decisions to workers. Each of the four types also has a distinct scale that operationalises it.</w:t>
      </w:r>
    </w:p>
    <w:p w14:paraId="71033D84" w14:textId="77777777" w:rsidR="0097271B" w:rsidRDefault="00C46B94">
      <w:pPr>
        <w:jc w:val="center"/>
      </w:pPr>
      <w:r>
        <w:rPr>
          <w:noProof/>
        </w:rPr>
        <w:lastRenderedPageBreak/>
        <w:drawing>
          <wp:inline distT="0" distB="0" distL="0" distR="0" wp14:anchorId="251EE0F8" wp14:editId="2CA95480">
            <wp:extent cx="5303520" cy="331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am_four_types.png"/>
                    <pic:cNvPicPr/>
                  </pic:nvPicPr>
                  <pic:blipFill>
                    <a:blip r:embed="rId8"/>
                    <a:stretch>
                      <a:fillRect/>
                    </a:stretch>
                  </pic:blipFill>
                  <pic:spPr>
                    <a:xfrm>
                      <a:off x="0" y="0"/>
                      <a:ext cx="5303520" cy="3317700"/>
                    </a:xfrm>
                    <a:prstGeom prst="rect">
                      <a:avLst/>
                    </a:prstGeom>
                  </pic:spPr>
                </pic:pic>
              </a:graphicData>
            </a:graphic>
          </wp:inline>
        </w:drawing>
      </w:r>
    </w:p>
    <w:p w14:paraId="245BDAC1" w14:textId="77777777" w:rsidR="0097271B" w:rsidRDefault="00C46B94">
      <w:pPr>
        <w:spacing w:before="80" w:after="240"/>
        <w:jc w:val="center"/>
      </w:pPr>
      <w:r>
        <w:rPr>
          <w:i/>
          <w:sz w:val="22"/>
        </w:rPr>
        <w:t>Figure 1.3  Algorithmic management, four decision types acting on the gig worker.</w:t>
      </w:r>
    </w:p>
    <w:p w14:paraId="72E3E3DE" w14:textId="77777777" w:rsidR="0097271B" w:rsidRDefault="00C46B94">
      <w:pPr>
        <w:pStyle w:val="Heading3"/>
      </w:pPr>
      <w:r>
        <w:rPr>
          <w:rFonts w:ascii="Arial" w:hAnsi="Arial"/>
        </w:rPr>
        <w:t>1.2.1 Matching</w:t>
      </w:r>
    </w:p>
    <w:p w14:paraId="2BA9BFF9" w14:textId="77777777" w:rsidR="0097271B" w:rsidRDefault="00C46B94">
      <w:pPr>
        <w:jc w:val="both"/>
      </w:pPr>
      <w:r>
        <w:t>Matching is the algorithmic pairing of supply with demand at the market and worker level. Mohlmann et al. (2021) documented market level matching (aggregate supply and demand balancing through surge and dispatch heuristics) and worker level matching (customer to worker pairing on a given ride or order) as the two dominant matching modes on Uber. Curchod et al. (2020) showed in an interpretive study of 77 eBay sellers that matching produces a visibility gap in which the worker sees the outcome but not the cr</w:t>
      </w:r>
      <w:r>
        <w:t>iteria, and this gap is where perceived unfairness accumulates. The matching decision therefore does not sit outside the fairness question, it produces the fairness question, which Section 2.1.2 addresses through the perceived algorithmic fairness construct.</w:t>
      </w:r>
    </w:p>
    <w:p w14:paraId="2A3684E8" w14:textId="77777777" w:rsidR="0097271B" w:rsidRDefault="00C46B94">
      <w:pPr>
        <w:pStyle w:val="Heading3"/>
      </w:pPr>
      <w:r>
        <w:rPr>
          <w:rFonts w:ascii="Arial" w:hAnsi="Arial"/>
        </w:rPr>
        <w:t>1.2.2 Task allocation</w:t>
      </w:r>
    </w:p>
    <w:p w14:paraId="08957CC5" w14:textId="77777777" w:rsidR="0097271B" w:rsidRDefault="00C46B94">
      <w:pPr>
        <w:jc w:val="both"/>
      </w:pPr>
      <w:r>
        <w:t xml:space="preserve">Task allocation is the assignment of specific tasks, routes, or orders to a worker within a shift. Parent Rocheleau et al. (2024) label this the goal setting subdimension of the Algorithmic Management Questionnaire and operationalised it as four verbatim items covering automated task assignment, work schedule generation, and daily target setting. Cameron and Rahman (2022) traced how the same allocation logic reshapes the temporal structure of </w:t>
      </w:r>
      <w:r>
        <w:lastRenderedPageBreak/>
        <w:t>the labour process, since the worker experiences the least discretion in the after phase (rating) and the most in the before phase (matching), while task allocation sits in the middle. The allocation decision is what workers point to when they describe algorithmic favouritism, which makes it the empirical bridge from perception to satisfaction that Section 3 addresses.</w:t>
      </w:r>
    </w:p>
    <w:p w14:paraId="69E045CA" w14:textId="77777777" w:rsidR="0097271B" w:rsidRDefault="00C46B94">
      <w:pPr>
        <w:pStyle w:val="Heading3"/>
      </w:pPr>
      <w:r>
        <w:rPr>
          <w:rFonts w:ascii="Arial" w:hAnsi="Arial"/>
        </w:rPr>
        <w:t>1.2.3 Compensation</w:t>
      </w:r>
    </w:p>
    <w:p w14:paraId="5BE24760" w14:textId="77777777" w:rsidR="0097271B" w:rsidRDefault="00C46B94">
      <w:pPr>
        <w:jc w:val="both"/>
      </w:pPr>
      <w:r>
        <w:t>Compensation refers to the algorithmically determined pay rate, surge multiplier, bonus, or penalty attached to a completed task. Parent Rocheleau et al. (2024) treat compensation as one of the five Algorithmic Management Questionnaire dimensions; Semujanga and Parent Rocheleau (2024) extended the analysis to occupational health and safety implications of automated pay schemes. Mohlmann et al. (2021) documented a compensation tension in which drivers cannot predict earnings because they cannot see the algor</w:t>
      </w:r>
      <w:r>
        <w:t>ithm, and Rahman (2021) generalised this to the invisible cage metaphor in which criteria change without notice. Compensation opacity is the fastest route from algorithmic exposure to loss of platform satisfaction, which is why the perceived transparency construct in Section 2.1.3 is a necessary bridge.</w:t>
      </w:r>
    </w:p>
    <w:p w14:paraId="12D9046C" w14:textId="77777777" w:rsidR="0097271B" w:rsidRDefault="00C46B94">
      <w:pPr>
        <w:pStyle w:val="Heading3"/>
      </w:pPr>
      <w:r>
        <w:rPr>
          <w:rFonts w:ascii="Arial" w:hAnsi="Arial"/>
        </w:rPr>
        <w:t>1.2.4 Control</w:t>
      </w:r>
    </w:p>
    <w:p w14:paraId="2A8B4ED8" w14:textId="77777777" w:rsidR="0097271B" w:rsidRDefault="00C46B94">
      <w:pPr>
        <w:jc w:val="both"/>
      </w:pPr>
      <w:r>
        <w:t>Control refers to the monitoring, rating, ranking, and deactivation levers that platforms use to shape worker behaviour after the task is assigned and priced. Kellogg, Valentine and Christin (2020) synthesised the classical labour process control functions (direction, evaluation, discipline) into six algorithmic mechanisms they termed the six Rs: restricting, recommending, recording, rating, replacing, and rewarding. Pei et al. (2021) developed and validated the Perceived Algorithmic Control scale with 11 i</w:t>
      </w:r>
      <w:r>
        <w:t>tems across three subdimensions (standardised guidance, tracking evaluation, behavioural constraint), and the scale was replicated in a 2024 Nature Humanities and Social Sciences Communications study. Control is the decision type with the most developed scale infrastructure, which is why it anchors the perceived algorithmic control construct in Section 2.1.4.</w:t>
      </w:r>
    </w:p>
    <w:p w14:paraId="3D5C835E" w14:textId="77777777" w:rsidR="0097271B" w:rsidRDefault="00C46B94">
      <w:pPr>
        <w:pStyle w:val="Heading2"/>
      </w:pPr>
      <w:r>
        <w:rPr>
          <w:rFonts w:ascii="Arial" w:hAnsi="Arial"/>
        </w:rPr>
        <w:lastRenderedPageBreak/>
        <w:t>1.3 Research questions</w:t>
      </w:r>
    </w:p>
    <w:p w14:paraId="21289141" w14:textId="77777777" w:rsidR="0097271B" w:rsidRDefault="00C46B94">
      <w:pPr>
        <w:jc w:val="both"/>
      </w:pPr>
      <w:r>
        <w:t>The four decision types and the three worker perception constructs supply the construct backbone for three prescriptive research questions, each targeting a distinct stakeholder.</w:t>
      </w:r>
    </w:p>
    <w:p w14:paraId="2C5937DE" w14:textId="77777777" w:rsidR="0097271B" w:rsidRDefault="00C46B94">
      <w:pPr>
        <w:spacing w:after="80"/>
        <w:ind w:left="454" w:hanging="227"/>
      </w:pPr>
      <w:r>
        <w:t>•  RQ1 (platform companies, algorithmic management). How should ride hailing and delivery platforms redesign algorithmic management to reduce algoactivism and turnover intention while preserving matching efficiency, given the heterogeneity of worker perception profiles across control, fairness, and transparency?</w:t>
      </w:r>
    </w:p>
    <w:p w14:paraId="75C0FD89" w14:textId="77777777" w:rsidR="0097271B" w:rsidRDefault="00C46B94">
      <w:pPr>
        <w:spacing w:after="80"/>
        <w:ind w:left="454" w:hanging="227"/>
      </w:pPr>
      <w:r>
        <w:t>•  RQ2 (product management). How should platform product management teams prioritise interface and feature changes to close the perceived transparency gap identified in Section 2.1.3 across distinct worker segments?</w:t>
      </w:r>
    </w:p>
    <w:p w14:paraId="07CB7253" w14:textId="77777777" w:rsidR="0097271B" w:rsidRDefault="00C46B94">
      <w:pPr>
        <w:spacing w:after="80"/>
        <w:ind w:left="454" w:hanging="227"/>
      </w:pPr>
      <w:r>
        <w:t>•  RQ3 (regulators). How should Indian regulators sequence and combine gig worker protection instruments, drawing on the Code on Social Security 2020 and comparable statutes across jurisdictions, to improve worker voice without eroding platform participation across gig worker cohorts?</w:t>
      </w:r>
    </w:p>
    <w:p w14:paraId="22ED8FE1" w14:textId="77777777" w:rsidR="0097271B" w:rsidRDefault="00C46B94">
      <w:pPr>
        <w:jc w:val="both"/>
      </w:pPr>
      <w:r>
        <w:t>Each question is prescriptive, asking how a stakeholder should redesign, prioritise, or regulate rather than how observed variables covary. That framing places the three questions outside the reach of structural equation modelling and descriptive statistics alone. RQ1 requires prospective counterfactual reasoning across a design space of algorithmic management interventions crossed with worker perception profiles, which fits multi agent simulation over generative worker personas. RQ2 requires the translatio</w:t>
      </w:r>
      <w:r>
        <w:t>n of unstructured worker signals from in app behaviour traces, algoactivism narratives, and exit interview text into a ranked feature backlog conditioned on worker segment, which fits generative AI synthesis. RQ3 requires stress testing of combinatorial policy sequences across cohorts before enactment, which fits adaptive policy generation by agentic AI systems seeded with statute text and simulated cohort profiles. The construct backbone from Sections 1.1 and 1.2 anchors all three questions; the answers de</w:t>
      </w:r>
      <w:r>
        <w:t>mand agentic simulation, generative synthesis, and adaptive policy generation rather than variance based inference.</w:t>
      </w:r>
    </w:p>
    <w:p w14:paraId="0EB56749" w14:textId="77777777" w:rsidR="0097271B" w:rsidRDefault="00C46B94">
      <w:pPr>
        <w:pStyle w:val="Heading2"/>
      </w:pPr>
      <w:r>
        <w:rPr>
          <w:rFonts w:ascii="Arial" w:hAnsi="Arial"/>
        </w:rPr>
        <w:lastRenderedPageBreak/>
        <w:t>1.4 Research model</w:t>
      </w:r>
    </w:p>
    <w:p w14:paraId="60480601" w14:textId="77777777" w:rsidR="0097271B" w:rsidRDefault="00C46B94">
      <w:pPr>
        <w:jc w:val="both"/>
      </w:pPr>
      <w:r>
        <w:t>Figure 1.4 shows the research model in full. Four algorithmic decision types on the top row feed three worker perception constructs on the middle row, which route through platform satisfaction to the Hirschman loyalty, voice, and exit triad on the bottom row. Solid boxes denote validated constructs with confirmed scales; dashed boxes denote gaps in the current literature (satisfaction has no dedicated algorithmic management scale; exit is measured only through configurational analysis). The remainder of the</w:t>
      </w:r>
      <w:r>
        <w:t xml:space="preserve"> document unpacks each row.</w:t>
      </w:r>
    </w:p>
    <w:p w14:paraId="461B2DD4" w14:textId="77777777" w:rsidR="0097271B" w:rsidRDefault="00C46B94">
      <w:pPr>
        <w:jc w:val="center"/>
      </w:pPr>
      <w:r>
        <w:rPr>
          <w:noProof/>
        </w:rPr>
        <w:drawing>
          <wp:inline distT="0" distB="0" distL="0" distR="0" wp14:anchorId="771B7422" wp14:editId="7343410C">
            <wp:extent cx="5852160" cy="50511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5585841504_image.png"/>
                    <pic:cNvPicPr/>
                  </pic:nvPicPr>
                  <pic:blipFill>
                    <a:blip r:embed="rId9"/>
                    <a:stretch>
                      <a:fillRect/>
                    </a:stretch>
                  </pic:blipFill>
                  <pic:spPr>
                    <a:xfrm>
                      <a:off x="0" y="0"/>
                      <a:ext cx="5852160" cy="5051146"/>
                    </a:xfrm>
                    <a:prstGeom prst="rect">
                      <a:avLst/>
                    </a:prstGeom>
                  </pic:spPr>
                </pic:pic>
              </a:graphicData>
            </a:graphic>
          </wp:inline>
        </w:drawing>
      </w:r>
    </w:p>
    <w:p w14:paraId="1BB9F336" w14:textId="77777777" w:rsidR="0097271B" w:rsidRDefault="00C46B94">
      <w:pPr>
        <w:spacing w:before="80" w:after="240"/>
        <w:jc w:val="center"/>
      </w:pPr>
      <w:r>
        <w:rPr>
          <w:i/>
          <w:sz w:val="22"/>
        </w:rPr>
        <w:t>Figure 1.4  Research model, from algorithmic decisions through perceptions and satisfaction to loyalty, voice, and exit.</w:t>
      </w:r>
    </w:p>
    <w:p w14:paraId="47B42640" w14:textId="77777777" w:rsidR="0097271B" w:rsidRDefault="00C46B94">
      <w:r>
        <w:br w:type="page"/>
      </w:r>
    </w:p>
    <w:p w14:paraId="652C319A" w14:textId="77777777" w:rsidR="0097271B" w:rsidRDefault="00C46B94">
      <w:pPr>
        <w:pStyle w:val="Heading1"/>
      </w:pPr>
      <w:r>
        <w:rPr>
          <w:rFonts w:ascii="Arial" w:hAnsi="Arial"/>
        </w:rPr>
        <w:lastRenderedPageBreak/>
        <w:t>2. Gig worker perceptions, challenges, regulations, and perceptions about the platform</w:t>
      </w:r>
    </w:p>
    <w:p w14:paraId="6B77BE4E" w14:textId="77777777" w:rsidR="0097271B" w:rsidRDefault="00C46B94">
      <w:pPr>
        <w:jc w:val="both"/>
      </w:pPr>
      <w:r>
        <w:t>Section 2 reviews the seven A star ranked papers that supply the theoretical constructs, and for each paper it identifies the subsequent empirical study that operationalised those constructs into a validated multi item scale for gig worker self report. All seven focal papers are qualitative or conceptual and none contains its own quantitative Likert instrument, which is why the mapping to a subsequent scale is necessary. Two constructs from the original nine paper set are omitted because no gig specific val</w:t>
      </w:r>
      <w:r>
        <w:t>idated scale exists: Pachidi et al. (2021) and Rahman and Valentine (2021). Section 7 explains the exclusion.</w:t>
      </w:r>
    </w:p>
    <w:p w14:paraId="6BCC9C9C" w14:textId="77777777" w:rsidR="0097271B" w:rsidRDefault="00C46B94">
      <w:pPr>
        <w:jc w:val="both"/>
      </w:pPr>
      <w:r>
        <w:t>The review is organised by paper so each construct family reads with its original theoretical anchor intact. Section 6 then compiles all confirmed items into a single survey instrument, and Table 2.1 in the survey section provides the quick reference matrix across all seven papers.</w:t>
      </w:r>
    </w:p>
    <w:p w14:paraId="23A10AA1" w14:textId="77777777" w:rsidR="0097271B" w:rsidRDefault="00C46B94">
      <w:pPr>
        <w:pStyle w:val="Heading2"/>
      </w:pPr>
      <w:r>
        <w:rPr>
          <w:rFonts w:ascii="Arial" w:hAnsi="Arial"/>
        </w:rPr>
        <w:t>2.1 Constructs and validated scales, paper by paper</w:t>
      </w:r>
    </w:p>
    <w:p w14:paraId="74218300" w14:textId="77777777" w:rsidR="0097271B" w:rsidRDefault="00C46B94">
      <w:pPr>
        <w:pStyle w:val="Heading3"/>
      </w:pPr>
      <w:r>
        <w:rPr>
          <w:rFonts w:ascii="Arial" w:hAnsi="Arial"/>
        </w:rPr>
        <w:t>2.1.1 Kellogg, Valentine and Christin (2020), Academy of Management Annals</w:t>
      </w:r>
    </w:p>
    <w:p w14:paraId="44AB7FE6" w14:textId="77777777" w:rsidR="0097271B" w:rsidRDefault="00C46B94">
      <w:pPr>
        <w:jc w:val="both"/>
      </w:pPr>
      <w:r>
        <w:t>Kellogg, Valentine and Christin (2020) published the field defining conceptual synthesis on algorithmic control in Academy of Management Annals (DOI 10.5465/annals.2018.0174). The six Rs framework grouped algorithmic control mechanisms under three classical labour process control functions from Edwards (1979). Direction operates through restricting (limiting worker choices or information) and recommending (nudging toward suggested actions). Evaluation operates through recording (capturing granular behaviour</w:t>
      </w:r>
      <w:r>
        <w:t xml:space="preserve">al and performance data) and rating (translating data into scores). Discipline operates through replacing (automation and job displacement threat) and rewarding (gamified bonuses and incentives). Kellogg and colleagues also identified six worker experiences: manipulation, disempowerment, surveillance, </w:t>
      </w:r>
      <w:r>
        <w:lastRenderedPageBreak/>
        <w:t>discrimination, precarity, and stress. The paper contains no formal measurement scale since it is a systematic literature review, so operationalisation falls to Parent Rocheleau et al. (2024).</w:t>
      </w:r>
    </w:p>
    <w:p w14:paraId="02567FC9" w14:textId="77777777" w:rsidR="0097271B" w:rsidRDefault="00C46B94">
      <w:pPr>
        <w:jc w:val="both"/>
      </w:pPr>
      <w:r>
        <w:t>Parent Rocheleau et al. (2024) developed the Algorithmic Management Questionnaire in Human Resource Management (DOI 10.1002/hrm.22185) through a six phase scale development process on 1,332 gig workers, producing 20 items across five subdimensions on a 7 point Likert scale. The five verbatim sample items are:</w:t>
      </w:r>
    </w:p>
    <w:p w14:paraId="4B7104B5" w14:textId="77777777" w:rsidR="0097271B" w:rsidRDefault="00C46B94">
      <w:pPr>
        <w:spacing w:after="80" w:line="312" w:lineRule="auto"/>
        <w:ind w:left="680"/>
      </w:pPr>
      <w:r>
        <w:rPr>
          <w:i/>
          <w:sz w:val="22"/>
        </w:rPr>
        <w:t>“An automated system tracks me carefully to ensure I am completing my tasks (monitoring)”</w:t>
      </w:r>
    </w:p>
    <w:p w14:paraId="49CE608F" w14:textId="77777777" w:rsidR="0097271B" w:rsidRDefault="00C46B94">
      <w:pPr>
        <w:spacing w:after="80" w:line="312" w:lineRule="auto"/>
        <w:ind w:left="680"/>
      </w:pPr>
      <w:r>
        <w:rPr>
          <w:i/>
          <w:sz w:val="22"/>
        </w:rPr>
        <w:t>“My daily tasks are assigned by an automated system (goal setting)”</w:t>
      </w:r>
    </w:p>
    <w:p w14:paraId="0D5B1F66" w14:textId="77777777" w:rsidR="0097271B" w:rsidRDefault="00C46B94">
      <w:pPr>
        <w:spacing w:after="80" w:line="312" w:lineRule="auto"/>
        <w:ind w:left="680"/>
      </w:pPr>
      <w:r>
        <w:rPr>
          <w:i/>
          <w:sz w:val="22"/>
        </w:rPr>
        <w:t>“My work schedule is made by an automated system (scheduling)”</w:t>
      </w:r>
    </w:p>
    <w:p w14:paraId="7BD05089" w14:textId="77777777" w:rsidR="0097271B" w:rsidRDefault="00C46B94">
      <w:pPr>
        <w:spacing w:after="80" w:line="312" w:lineRule="auto"/>
        <w:ind w:left="680"/>
      </w:pPr>
      <w:r>
        <w:rPr>
          <w:i/>
          <w:sz w:val="22"/>
        </w:rPr>
        <w:t>“The evaluation of my work performance is handled by an electronic system (performance rating)”</w:t>
      </w:r>
    </w:p>
    <w:p w14:paraId="01AE98BA" w14:textId="77777777" w:rsidR="0097271B" w:rsidRDefault="00C46B94">
      <w:pPr>
        <w:spacing w:after="80" w:line="312" w:lineRule="auto"/>
        <w:ind w:left="680"/>
      </w:pPr>
      <w:r>
        <w:rPr>
          <w:i/>
          <w:sz w:val="22"/>
        </w:rPr>
        <w:t>“A large part of my compensation is determined by an automated system (compensation)”</w:t>
      </w:r>
    </w:p>
    <w:p w14:paraId="2225BBEA" w14:textId="77777777" w:rsidR="0097271B" w:rsidRDefault="00C46B94">
      <w:pPr>
        <w:jc w:val="both"/>
      </w:pPr>
      <w:r>
        <w:t>The Algorithmic Management Questionnaire is the broadest exposure measure available for the six Rs and covers all four decision types identified in Section 1.2, which is why it anchors the exposure construct in the composite survey.</w:t>
      </w:r>
    </w:p>
    <w:p w14:paraId="1CA6B729" w14:textId="77777777" w:rsidR="0097271B" w:rsidRDefault="00C46B94">
      <w:pPr>
        <w:pStyle w:val="Heading3"/>
      </w:pPr>
      <w:r>
        <w:rPr>
          <w:rFonts w:ascii="Arial" w:hAnsi="Arial"/>
        </w:rPr>
        <w:t>2.1.2 Curchod et al. (2020), Administrative Science Quarterly</w:t>
      </w:r>
    </w:p>
    <w:p w14:paraId="42CD5E63" w14:textId="77777777" w:rsidR="0097271B" w:rsidRDefault="00C46B94">
      <w:pPr>
        <w:jc w:val="both"/>
      </w:pPr>
      <w:r>
        <w:t>Curchod et al. (2020) reported an interpretive study of 77 high performing eBay business sellers in Administrative Science Quarterly (DOI 10.1177/0001839219867024). Power asymmetry operated across two levels, transactional (seller to customer) and governance (seller to platform), through three mechanisms: a new form of monitoring built on visibility gaps, algorithmic mediation that constrains human agency, and agentic exploitation of practical algorithmic knowledge. Curchod and colleagues named the overarch</w:t>
      </w:r>
      <w:r>
        <w:t>ing phenomenon post panoptic power. The paper contains no formal scale, so operationalisation falls to Jabagi et al. (2025).</w:t>
      </w:r>
    </w:p>
    <w:p w14:paraId="5BAAC22C" w14:textId="77777777" w:rsidR="0097271B" w:rsidRDefault="00C46B94">
      <w:pPr>
        <w:jc w:val="both"/>
      </w:pPr>
      <w:r>
        <w:t xml:space="preserve">Jabagi et al. (2025) published a perceived algorithmic fairness scale in the International Journal of Human Resource Management (DOI 10.1080/09585192.2024.2441448) built on the Colquitt (2001) procedural justice measure and adapted to a survey of 435 Uber drivers. The instrument </w:t>
      </w:r>
      <w:r>
        <w:lastRenderedPageBreak/>
        <w:t>contains 14 items on a 7 point Likert scale, split between matching procedures (seven items) and evaluation procedures (seven items). Sample items include:</w:t>
      </w:r>
    </w:p>
    <w:p w14:paraId="40E7F364" w14:textId="77777777" w:rsidR="0097271B" w:rsidRDefault="00C46B94">
      <w:pPr>
        <w:spacing w:after="80" w:line="312" w:lineRule="auto"/>
        <w:ind w:left="680"/>
      </w:pPr>
      <w:r>
        <w:rPr>
          <w:i/>
          <w:sz w:val="22"/>
        </w:rPr>
        <w:t>“Do you consider that the app's matching procedures are based on accurate information?”</w:t>
      </w:r>
    </w:p>
    <w:p w14:paraId="1D712244" w14:textId="77777777" w:rsidR="0097271B" w:rsidRDefault="00C46B94">
      <w:pPr>
        <w:spacing w:after="80" w:line="312" w:lineRule="auto"/>
        <w:ind w:left="680"/>
      </w:pPr>
      <w:r>
        <w:rPr>
          <w:i/>
          <w:sz w:val="22"/>
        </w:rPr>
        <w:t>“Have you been able to express your views and feelings during the evaluation procedure?”</w:t>
      </w:r>
    </w:p>
    <w:p w14:paraId="183C4380" w14:textId="77777777" w:rsidR="0097271B" w:rsidRDefault="00C46B94">
      <w:pPr>
        <w:spacing w:after="80" w:line="312" w:lineRule="auto"/>
        <w:ind w:left="680"/>
      </w:pPr>
      <w:r>
        <w:rPr>
          <w:i/>
          <w:sz w:val="22"/>
        </w:rPr>
        <w:t>“Are you able to appeal the rides assigned to you by the app?”</w:t>
      </w:r>
    </w:p>
    <w:p w14:paraId="5AF65333" w14:textId="77777777" w:rsidR="0097271B" w:rsidRDefault="00C46B94">
      <w:pPr>
        <w:spacing w:after="80" w:line="312" w:lineRule="auto"/>
        <w:ind w:left="680"/>
      </w:pPr>
      <w:r>
        <w:rPr>
          <w:i/>
          <w:sz w:val="22"/>
        </w:rPr>
        <w:t>“Do you consider that the app's matching procedures are free of bias?”</w:t>
      </w:r>
    </w:p>
    <w:p w14:paraId="36E2B33B" w14:textId="77777777" w:rsidR="0097271B" w:rsidRDefault="00C46B94">
      <w:pPr>
        <w:jc w:val="both"/>
      </w:pPr>
      <w:r>
        <w:t>The 14 item split matches the matching and control decision types identified in Section 1.2 and is therefore the fairness bridge from decision types to worker perceptions.</w:t>
      </w:r>
    </w:p>
    <w:p w14:paraId="3202A0E5" w14:textId="77777777" w:rsidR="0097271B" w:rsidRDefault="00C46B94">
      <w:pPr>
        <w:pStyle w:val="Heading3"/>
      </w:pPr>
      <w:r>
        <w:rPr>
          <w:rFonts w:ascii="Arial" w:hAnsi="Arial"/>
        </w:rPr>
        <w:t>2.1.3 Rahman (2021), Administrative Science Quarterly</w:t>
      </w:r>
    </w:p>
    <w:p w14:paraId="29E34F74" w14:textId="77777777" w:rsidR="0097271B" w:rsidRDefault="00C46B94">
      <w:pPr>
        <w:jc w:val="both"/>
      </w:pPr>
      <w:r>
        <w:t>Rahman (2021) reported a three year field study in Administrative Science Quarterly (DOI 10.1177/00018392211010118) using interviews, archival data, and participant observation as a registered platform user. The invisible cage metaphor captured a control regime in which success criteria, and changes to those criteria, remain opaque to workers. Rahman drew on Espeland and Sauder (2007) to describe reactivity, or behaviour change in response to being evaluated or measured. Two divergent worker responses emerg</w:t>
      </w:r>
      <w:r>
        <w:t>ed: experimental reactivity, in which workers increase activity and test tactics, and constrained reactivity, in which workers limit exposure to protect scores. Platform dependence and evaluation setbacks moderated the response type. The paper contains no formal scale, so operationalisation falls to Hoddinghaus, Sondern and Hertel (2021).</w:t>
      </w:r>
    </w:p>
    <w:p w14:paraId="106BDBF3" w14:textId="77777777" w:rsidR="0097271B" w:rsidRDefault="00C46B94">
      <w:pPr>
        <w:jc w:val="both"/>
      </w:pPr>
      <w:r>
        <w:t>Hoddinghaus, Sondern and Hertel (2021) developed an algorithmic transparency scale in Computers in Human Behavior (DOI 10.1016/j.chb.2020.106635) that was subsequently applied to gig workers in a 2024 empirical study. The 3 item, 5 point Likert instrument reads:</w:t>
      </w:r>
    </w:p>
    <w:p w14:paraId="14E1C5B5" w14:textId="77777777" w:rsidR="0097271B" w:rsidRDefault="00C46B94">
      <w:pPr>
        <w:spacing w:after="80" w:line="312" w:lineRule="auto"/>
        <w:ind w:left="680"/>
      </w:pPr>
      <w:r>
        <w:rPr>
          <w:i/>
          <w:sz w:val="22"/>
        </w:rPr>
        <w:t>“I think I could understand the decision making process of platform algorithms very well”</w:t>
      </w:r>
    </w:p>
    <w:p w14:paraId="346A6EB8" w14:textId="77777777" w:rsidR="0097271B" w:rsidRDefault="00C46B94">
      <w:pPr>
        <w:spacing w:after="80" w:line="312" w:lineRule="auto"/>
        <w:ind w:left="680"/>
      </w:pPr>
      <w:r>
        <w:rPr>
          <w:i/>
          <w:sz w:val="22"/>
        </w:rPr>
        <w:t>“I think I can see through platform algorithms' decision making process”</w:t>
      </w:r>
    </w:p>
    <w:p w14:paraId="72266AFF" w14:textId="77777777" w:rsidR="0097271B" w:rsidRDefault="00C46B94">
      <w:pPr>
        <w:spacing w:after="80" w:line="312" w:lineRule="auto"/>
        <w:ind w:left="680"/>
      </w:pPr>
      <w:r>
        <w:rPr>
          <w:i/>
          <w:sz w:val="22"/>
        </w:rPr>
        <w:t>“I think the decision making process of platform algorithms are clear and transparent”</w:t>
      </w:r>
    </w:p>
    <w:p w14:paraId="46E3B6E4" w14:textId="77777777" w:rsidR="0097271B" w:rsidRDefault="00C46B94">
      <w:pPr>
        <w:jc w:val="both"/>
      </w:pPr>
      <w:r>
        <w:lastRenderedPageBreak/>
        <w:t>The transparency scale is the negative of Rahman's (2021) invisible cage: a high score indicates the cage is visible, and a low score indicates it is not. This inverse mapping is what makes the scale usable as the transparency bridge in the composite survey.</w:t>
      </w:r>
    </w:p>
    <w:p w14:paraId="28EC2537" w14:textId="77777777" w:rsidR="0097271B" w:rsidRDefault="00C46B94">
      <w:pPr>
        <w:pStyle w:val="Heading3"/>
      </w:pPr>
      <w:r>
        <w:rPr>
          <w:rFonts w:ascii="Arial" w:hAnsi="Arial"/>
        </w:rPr>
        <w:t>2.1.4 Mohlmann et al. (2021), MIS Quarterly</w:t>
      </w:r>
    </w:p>
    <w:p w14:paraId="065C8766" w14:textId="77777777" w:rsidR="0097271B" w:rsidRDefault="00C46B94">
      <w:pPr>
        <w:jc w:val="both"/>
      </w:pPr>
      <w:r>
        <w:t>Mohlmann et al. (2021) reported a grounded theory study in MIS Quarterly (DOI 10.25300/MISQ/2021/15333) that combined Uber driver perceptions with interviews of Uber executives and engineers. Algorithmic management was theorised along two dimensions, matching (market level supply and demand plus worker level customer to worker pairing) and control (monitoring and tight behavioural control), which together produced three tension types: work execution, compensation, and belonging. Workers responded through ma</w:t>
      </w:r>
      <w:r>
        <w:t>rket like actions such as gaming the system and organisation like actions such as loyalty. The paper contains no formal scale, so operationalisation falls to Wiener, Cram and Benlian (2023) and to Pei et al. (2021).</w:t>
      </w:r>
    </w:p>
    <w:p w14:paraId="26C3146C" w14:textId="77777777" w:rsidR="0097271B" w:rsidRDefault="00C46B94">
      <w:pPr>
        <w:jc w:val="both"/>
      </w:pPr>
      <w:r>
        <w:t>Wiener, Cram and Benlian (2023) published a legitimacy perspective on algorithmic control in the European Journal of Information Systems (DOI 10.1080/0960085X.2021.1977729) using a survey of 621 Uber drivers. The instrument distinguishes gatekeeping algorithmic control from guiding algorithmic control and links both to legitimacy judgments on autonomy, fairness, and privacy. Only two verbatim sample items are available from the accessible replication:</w:t>
      </w:r>
    </w:p>
    <w:p w14:paraId="24F327D6" w14:textId="77777777" w:rsidR="0097271B" w:rsidRDefault="00C46B94">
      <w:pPr>
        <w:spacing w:after="80" w:line="312" w:lineRule="auto"/>
        <w:ind w:left="680"/>
      </w:pPr>
      <w:r>
        <w:rPr>
          <w:i/>
          <w:sz w:val="22"/>
        </w:rPr>
        <w:t>“The platform informs me about the tasks I need to perform”</w:t>
      </w:r>
    </w:p>
    <w:p w14:paraId="1F4C03DA" w14:textId="77777777" w:rsidR="0097271B" w:rsidRDefault="00C46B94">
      <w:pPr>
        <w:spacing w:after="80" w:line="312" w:lineRule="auto"/>
        <w:ind w:left="680"/>
      </w:pPr>
      <w:r>
        <w:rPr>
          <w:i/>
          <w:sz w:val="22"/>
        </w:rPr>
        <w:t>“The platform evaluates my work”</w:t>
      </w:r>
    </w:p>
    <w:p w14:paraId="423C8422" w14:textId="77777777" w:rsidR="0097271B" w:rsidRDefault="00C46B94">
      <w:pPr>
        <w:jc w:val="both"/>
      </w:pPr>
      <w:r>
        <w:t>Pei et al. (2021) developed the Perceived Algorithmic Control scale in Nankai Business Review (no DOI available; the journal is Chinese language). The 11 item, 5 point Likert instrument was later reproduced in full in a 2024 Nature Humanities and Social Sciences Communications replication and covers three subdimensions:</w:t>
      </w:r>
    </w:p>
    <w:p w14:paraId="26A5E033" w14:textId="77777777" w:rsidR="0097271B" w:rsidRDefault="00C46B94">
      <w:pPr>
        <w:spacing w:after="80" w:line="312" w:lineRule="auto"/>
        <w:ind w:left="680"/>
      </w:pPr>
      <w:r>
        <w:rPr>
          <w:i/>
          <w:sz w:val="22"/>
        </w:rPr>
        <w:t>“The algorithm assigns my tasks intelligently (standardised guidance)”</w:t>
      </w:r>
    </w:p>
    <w:p w14:paraId="4496C1D2" w14:textId="77777777" w:rsidR="0097271B" w:rsidRDefault="00C46B94">
      <w:pPr>
        <w:spacing w:after="80" w:line="312" w:lineRule="auto"/>
        <w:ind w:left="680"/>
      </w:pPr>
      <w:r>
        <w:rPr>
          <w:i/>
          <w:sz w:val="22"/>
        </w:rPr>
        <w:t>“The algorithm provides normative instructions for my work according to the platform standard (standardised guidance)”</w:t>
      </w:r>
    </w:p>
    <w:p w14:paraId="66965F17" w14:textId="77777777" w:rsidR="0097271B" w:rsidRDefault="00C46B94">
      <w:pPr>
        <w:spacing w:after="80" w:line="312" w:lineRule="auto"/>
        <w:ind w:left="680"/>
      </w:pPr>
      <w:r>
        <w:rPr>
          <w:i/>
          <w:sz w:val="22"/>
        </w:rPr>
        <w:t>“The algorithm provides me with considerable information support related to the completion of work tasks (standardised guidance)”</w:t>
      </w:r>
    </w:p>
    <w:p w14:paraId="31CAF256" w14:textId="77777777" w:rsidR="0097271B" w:rsidRDefault="00C46B94">
      <w:pPr>
        <w:spacing w:after="80" w:line="312" w:lineRule="auto"/>
        <w:ind w:left="680"/>
      </w:pPr>
      <w:r>
        <w:rPr>
          <w:i/>
          <w:sz w:val="22"/>
        </w:rPr>
        <w:lastRenderedPageBreak/>
        <w:t>“The algorithm provides me with real time feedback on performance information (standardised guidance)”</w:t>
      </w:r>
    </w:p>
    <w:p w14:paraId="51BFA62E" w14:textId="77777777" w:rsidR="0097271B" w:rsidRDefault="00C46B94">
      <w:pPr>
        <w:spacing w:after="80" w:line="312" w:lineRule="auto"/>
        <w:ind w:left="680"/>
      </w:pPr>
      <w:r>
        <w:rPr>
          <w:i/>
          <w:sz w:val="22"/>
        </w:rPr>
        <w:t>“The algorithm tracks my location in real time (tracking evaluation)”</w:t>
      </w:r>
    </w:p>
    <w:p w14:paraId="405723DA" w14:textId="77777777" w:rsidR="0097271B" w:rsidRDefault="00C46B94">
      <w:pPr>
        <w:spacing w:after="80" w:line="312" w:lineRule="auto"/>
        <w:ind w:left="680"/>
      </w:pPr>
      <w:r>
        <w:rPr>
          <w:i/>
          <w:sz w:val="22"/>
        </w:rPr>
        <w:t>“The algorithm keeps track of my work progress (tracking evaluation)”</w:t>
      </w:r>
    </w:p>
    <w:p w14:paraId="6A0746AC" w14:textId="77777777" w:rsidR="0097271B" w:rsidRDefault="00C46B94">
      <w:pPr>
        <w:spacing w:after="80" w:line="312" w:lineRule="auto"/>
        <w:ind w:left="680"/>
      </w:pPr>
      <w:r>
        <w:rPr>
          <w:i/>
          <w:sz w:val="22"/>
        </w:rPr>
        <w:t>“The algorithm tracks my work attitude in real time (tracking evaluation)”</w:t>
      </w:r>
    </w:p>
    <w:p w14:paraId="342F2494" w14:textId="77777777" w:rsidR="0097271B" w:rsidRDefault="00C46B94">
      <w:pPr>
        <w:spacing w:after="80" w:line="312" w:lineRule="auto"/>
        <w:ind w:left="680"/>
      </w:pPr>
      <w:r>
        <w:rPr>
          <w:i/>
          <w:sz w:val="22"/>
        </w:rPr>
        <w:t>“The algorithm automatically evaluates the quality of my service (tracking evaluation)”</w:t>
      </w:r>
    </w:p>
    <w:p w14:paraId="0F9B116B" w14:textId="77777777" w:rsidR="0097271B" w:rsidRDefault="00C46B94">
      <w:pPr>
        <w:spacing w:after="80" w:line="312" w:lineRule="auto"/>
        <w:ind w:left="680"/>
      </w:pPr>
      <w:r>
        <w:rPr>
          <w:i/>
          <w:sz w:val="22"/>
        </w:rPr>
        <w:t>“The algorithm ranks me according to my performance (behavioural constraint)”</w:t>
      </w:r>
    </w:p>
    <w:p w14:paraId="4AF7EC92" w14:textId="77777777" w:rsidR="0097271B" w:rsidRDefault="00C46B94">
      <w:pPr>
        <w:spacing w:after="80" w:line="312" w:lineRule="auto"/>
        <w:ind w:left="680"/>
      </w:pPr>
      <w:r>
        <w:rPr>
          <w:i/>
          <w:sz w:val="22"/>
        </w:rPr>
        <w:t>“The algorithm provides me a monetary incentive to work hard for a specific period (behavioural constraint)”</w:t>
      </w:r>
    </w:p>
    <w:p w14:paraId="243B6772" w14:textId="77777777" w:rsidR="0097271B" w:rsidRDefault="00C46B94">
      <w:pPr>
        <w:spacing w:after="80" w:line="312" w:lineRule="auto"/>
        <w:ind w:left="680"/>
      </w:pPr>
      <w:r>
        <w:rPr>
          <w:i/>
          <w:sz w:val="22"/>
        </w:rPr>
        <w:t>“The algorithm imposes a fine on me if I fail to comply with the platform's requirements (behavioural constraint)”</w:t>
      </w:r>
    </w:p>
    <w:p w14:paraId="15FC420E" w14:textId="77777777" w:rsidR="0097271B" w:rsidRDefault="00C46B94">
      <w:pPr>
        <w:jc w:val="both"/>
      </w:pPr>
      <w:r>
        <w:t>The Perceived Algorithmic Control scale is the most comprehensive control instrument available for gig workers and covers all three of the control subfunctions in Kellogg, Valentine and Christin (2020), which is why it anchors the control perception construct in the composite survey.</w:t>
      </w:r>
    </w:p>
    <w:p w14:paraId="097ECB10" w14:textId="77777777" w:rsidR="0097271B" w:rsidRDefault="00C46B94">
      <w:pPr>
        <w:pStyle w:val="Heading3"/>
      </w:pPr>
      <w:r>
        <w:rPr>
          <w:rFonts w:ascii="Arial" w:hAnsi="Arial"/>
        </w:rPr>
        <w:t>2.1.5 Cameron and Rahman (2022), Organization Science</w:t>
      </w:r>
    </w:p>
    <w:p w14:paraId="6040CC39" w14:textId="77777777" w:rsidR="0097271B" w:rsidRDefault="00C46B94">
      <w:pPr>
        <w:jc w:val="both"/>
      </w:pPr>
      <w:r>
        <w:t>Cameron and Rahman (2022) reported a comparative ethnography of two platform companies in Organization Science (DOI 10.1287/orsc.2021.1557). Algorithmically mediated customer control expanded the service encounter so that control and resistance extended beyond task execution. The joint constitution of control and resistance played out temporally across the labour process. Workers had the most latitude in the before phase (matching), less in the during phase (interaction), and the least in the after phase (r</w:t>
      </w:r>
      <w:r>
        <w:t>ating). Covert resistance tactics allowed workers to influence algorithms through everyday customer interactions in ways platforms could not always observe. The paper contains no formal scale, so operationalisation falls to de Jong, Weber and Remus (2025).</w:t>
      </w:r>
    </w:p>
    <w:p w14:paraId="30E79561" w14:textId="77777777" w:rsidR="0097271B" w:rsidRDefault="00C46B94">
      <w:pPr>
        <w:jc w:val="both"/>
      </w:pPr>
      <w:r>
        <w:t>de Jong, Weber and Remus (2025) developed an algoactivism scale in a scale development paper that traces its precursor to ECIS 2024 Proceedings paper 13. The final validated instrument contains 15 items, distilled from an initial content validated pool of 37 items, and captures three dimensions of worker resistance to algorithmic control. Four confirmed verbatim items are:</w:t>
      </w:r>
    </w:p>
    <w:p w14:paraId="3F5A6894" w14:textId="77777777" w:rsidR="0097271B" w:rsidRDefault="00C46B94">
      <w:pPr>
        <w:spacing w:after="80" w:line="312" w:lineRule="auto"/>
        <w:ind w:left="680"/>
      </w:pPr>
      <w:r>
        <w:rPr>
          <w:i/>
          <w:sz w:val="22"/>
        </w:rPr>
        <w:lastRenderedPageBreak/>
        <w:t>“I do not enjoy working under the supervision of algorithms”</w:t>
      </w:r>
    </w:p>
    <w:p w14:paraId="0A6AD467" w14:textId="77777777" w:rsidR="0097271B" w:rsidRDefault="00C46B94">
      <w:pPr>
        <w:spacing w:after="80" w:line="312" w:lineRule="auto"/>
        <w:ind w:left="680"/>
      </w:pPr>
      <w:r>
        <w:rPr>
          <w:i/>
          <w:sz w:val="22"/>
        </w:rPr>
        <w:t>“I experience the platform's algorithms as unfair”</w:t>
      </w:r>
    </w:p>
    <w:p w14:paraId="3F6336B4" w14:textId="77777777" w:rsidR="0097271B" w:rsidRDefault="00C46B94">
      <w:pPr>
        <w:spacing w:after="80" w:line="312" w:lineRule="auto"/>
        <w:ind w:left="680"/>
      </w:pPr>
      <w:r>
        <w:rPr>
          <w:i/>
          <w:sz w:val="22"/>
        </w:rPr>
        <w:t>“I would rather have more human management than algorithmic management”</w:t>
      </w:r>
    </w:p>
    <w:p w14:paraId="5C367593" w14:textId="77777777" w:rsidR="0097271B" w:rsidRDefault="00C46B94">
      <w:pPr>
        <w:spacing w:after="80" w:line="312" w:lineRule="auto"/>
        <w:ind w:left="680"/>
      </w:pPr>
      <w:r>
        <w:rPr>
          <w:i/>
          <w:sz w:val="22"/>
        </w:rPr>
        <w:t>“I deliberately change my behavior to get assigned better tasks by the platform's algorithm”</w:t>
      </w:r>
    </w:p>
    <w:p w14:paraId="30496E9B" w14:textId="77777777" w:rsidR="0097271B" w:rsidRDefault="00C46B94">
      <w:pPr>
        <w:jc w:val="both"/>
      </w:pPr>
      <w:r>
        <w:t>The algoactivism scale is the most direct measurement of active resistance in the current literature and is used in Section 4.2 as the voice construct.</w:t>
      </w:r>
    </w:p>
    <w:p w14:paraId="0C2500DC" w14:textId="77777777" w:rsidR="0097271B" w:rsidRDefault="00C46B94">
      <w:pPr>
        <w:pStyle w:val="Heading3"/>
      </w:pPr>
      <w:r>
        <w:rPr>
          <w:rFonts w:ascii="Arial" w:hAnsi="Arial"/>
        </w:rPr>
        <w:t>2.1.6 Cameron (2022), Organization Science</w:t>
      </w:r>
    </w:p>
    <w:p w14:paraId="029EB584" w14:textId="77777777" w:rsidR="0097271B" w:rsidRDefault="00C46B94">
      <w:pPr>
        <w:jc w:val="both"/>
      </w:pPr>
      <w:r>
        <w:t>Cameron (2022) reported a four year study of ride hailing workers in Organization Science (DOI 10.1287/orsc.2021.1547) that included participant observation as a part time driver plus interviews. Two workplace games emerged that workers constructed through interactions with the customer and the app. The relational game involved crafting positive customer service encounters in pursuit of high ratings, tracked via the algorithmic rating system. The efficiency game involved setting boundaries with customers to</w:t>
      </w:r>
      <w:r>
        <w:t xml:space="preserve"> maximise pay per time, tracked via self created tools that sometimes manipulated the platform algorithm. Each game was associated with a distinct stance toward the work and produced contrasting implications for retention. The paper contains no formal scale, so operationalisation falls to Eppmann, Bekk and Klein (2018).</w:t>
      </w:r>
    </w:p>
    <w:p w14:paraId="1DA64845" w14:textId="77777777" w:rsidR="0097271B" w:rsidRDefault="00C46B94">
      <w:pPr>
        <w:jc w:val="both"/>
      </w:pPr>
      <w:r>
        <w:t>Eppmann, Bekk and Klein (2018) published the Gameful Experience Scale in the Journal of Interactive Marketing (DOI 10.1016/j.intmar.2018.03.002), and the scale was adapted directly to gig work in a 2024 Behavioral Sciences study. The 27 item instrument covers six subdimensions: enjoyment, absorption, creative thinking, activation, absence of negative affect, and dominance. Sample items from the enjoyment subdimension include:</w:t>
      </w:r>
    </w:p>
    <w:p w14:paraId="0F2F4534" w14:textId="77777777" w:rsidR="0097271B" w:rsidRDefault="00C46B94">
      <w:pPr>
        <w:spacing w:after="80" w:line="312" w:lineRule="auto"/>
        <w:ind w:left="680"/>
      </w:pPr>
      <w:r>
        <w:rPr>
          <w:i/>
          <w:sz w:val="22"/>
        </w:rPr>
        <w:t>“Playing the game was fun (enjoyment)”</w:t>
      </w:r>
    </w:p>
    <w:p w14:paraId="237EA6F9" w14:textId="77777777" w:rsidR="0097271B" w:rsidRDefault="00C46B94">
      <w:pPr>
        <w:spacing w:after="80" w:line="312" w:lineRule="auto"/>
        <w:ind w:left="680"/>
      </w:pPr>
      <w:r>
        <w:rPr>
          <w:i/>
          <w:sz w:val="22"/>
        </w:rPr>
        <w:t>“I liked playing the game (enjoyment)”</w:t>
      </w:r>
    </w:p>
    <w:p w14:paraId="4CD85215" w14:textId="77777777" w:rsidR="0097271B" w:rsidRDefault="00C46B94">
      <w:pPr>
        <w:spacing w:after="80" w:line="312" w:lineRule="auto"/>
        <w:ind w:left="680"/>
      </w:pPr>
      <w:r>
        <w:rPr>
          <w:i/>
          <w:sz w:val="22"/>
        </w:rPr>
        <w:t>“My game experience was pleasurable (enjoyment)”</w:t>
      </w:r>
    </w:p>
    <w:p w14:paraId="21D1CF3D" w14:textId="77777777" w:rsidR="0097271B" w:rsidRDefault="00C46B94">
      <w:pPr>
        <w:spacing w:after="80" w:line="312" w:lineRule="auto"/>
        <w:ind w:left="680"/>
      </w:pPr>
      <w:r>
        <w:rPr>
          <w:i/>
          <w:sz w:val="22"/>
        </w:rPr>
        <w:t>“Gameful experience at work is enjoyable (gig work adaptation, 2024)”</w:t>
      </w:r>
    </w:p>
    <w:p w14:paraId="09082850" w14:textId="77777777" w:rsidR="0097271B" w:rsidRDefault="00C46B94">
      <w:pPr>
        <w:jc w:val="both"/>
      </w:pPr>
      <w:r>
        <w:t>The Gameful Experience Scale is an optional inclusion in the composite survey because it measures the meaning making that mediates the relationship between control and satisfaction for a subset of workers, but it does not add explanatory power on the exit or voice branches.</w:t>
      </w:r>
    </w:p>
    <w:p w14:paraId="18FF2DAD" w14:textId="77777777" w:rsidR="0097271B" w:rsidRDefault="00C46B94">
      <w:pPr>
        <w:pStyle w:val="Heading3"/>
      </w:pPr>
      <w:r>
        <w:rPr>
          <w:rFonts w:ascii="Arial" w:hAnsi="Arial"/>
        </w:rPr>
        <w:lastRenderedPageBreak/>
        <w:t>2.1.7 Vallas and Schor (2020), Annual Review of Sociology</w:t>
      </w:r>
    </w:p>
    <w:p w14:paraId="10880A8F" w14:textId="77777777" w:rsidR="0097271B" w:rsidRDefault="00C46B94">
      <w:pPr>
        <w:jc w:val="both"/>
      </w:pPr>
      <w:r>
        <w:t>Vallas and Schor (2020) published a critical review of platform work sociology in the Annual Review of Sociology (DOI 10.1146/annurev-soc-121919-054857) that catalogued four organising metaphors used in prior scholarship: entrepreneurial incubator, digital cage, accelerant of precarity, and firm as chameleon. Vallas and Schor proposed a fifth metaphor, permissive potentates, in which platforms externalise responsibility while retaining concentrated power. The paper emphasised the shift from closed to open e</w:t>
      </w:r>
      <w:r>
        <w:t>mployment relations. The digital cage metaphor is already operationalised by the Perceived Algorithmic Control scale (Section 2.1.4) and by the Algorithmic Management Questionnaire (Section 2.1.1). What Vallas and Schor add that is not covered elsewhere is the economic dependence dimension, which supplies a control variable rather than a perception construct.</w:t>
      </w:r>
    </w:p>
    <w:p w14:paraId="4E09D914" w14:textId="77777777" w:rsidR="0097271B" w:rsidRDefault="00C46B94">
      <w:pPr>
        <w:jc w:val="both"/>
      </w:pPr>
      <w:r>
        <w:t>The economic dependence scale adapted from Van Dam (2005) and Clark (2005) is reported in a Personnel Review type manuscript with coefficient alpha 0.88, and contains seven items combining job alternatives and economic insecurity perceptions with some items reverse coded. Two confirmed sample items are:</w:t>
      </w:r>
    </w:p>
    <w:p w14:paraId="6AD9B8E4" w14:textId="77777777" w:rsidR="0097271B" w:rsidRDefault="00C46B94">
      <w:pPr>
        <w:spacing w:after="80" w:line="312" w:lineRule="auto"/>
        <w:ind w:left="680"/>
      </w:pPr>
      <w:r>
        <w:rPr>
          <w:i/>
          <w:sz w:val="22"/>
        </w:rPr>
        <w:t>“I can easily get another job outside the platform economy if I want to (reverse coded)”</w:t>
      </w:r>
    </w:p>
    <w:p w14:paraId="3D9700DC" w14:textId="77777777" w:rsidR="0097271B" w:rsidRDefault="00C46B94">
      <w:pPr>
        <w:spacing w:after="80" w:line="312" w:lineRule="auto"/>
        <w:ind w:left="680"/>
      </w:pPr>
      <w:r>
        <w:rPr>
          <w:i/>
          <w:sz w:val="22"/>
        </w:rPr>
        <w:t>“To maintain the standard of living I desire for myself, I must keep working via a platform”</w:t>
      </w:r>
    </w:p>
    <w:p w14:paraId="6508BF7A" w14:textId="77777777" w:rsidR="0097271B" w:rsidRDefault="00C46B94">
      <w:pPr>
        <w:jc w:val="both"/>
      </w:pPr>
      <w:r>
        <w:t>Economic dependence enters the composite survey as a control variable rather than a perception construct because its explanatory role in the research model is to condition, not to cause, the response outcomes.</w:t>
      </w:r>
    </w:p>
    <w:p w14:paraId="1BA69712" w14:textId="77777777" w:rsidR="0097271B" w:rsidRDefault="00C46B94">
      <w:r>
        <w:br w:type="page"/>
      </w:r>
    </w:p>
    <w:p w14:paraId="60FE48A8" w14:textId="77777777" w:rsidR="0097271B" w:rsidRDefault="00C46B94">
      <w:pPr>
        <w:pStyle w:val="Heading1"/>
      </w:pPr>
      <w:r>
        <w:rPr>
          <w:rFonts w:ascii="Arial" w:hAnsi="Arial"/>
        </w:rPr>
        <w:lastRenderedPageBreak/>
        <w:t>3. Gig worker job satisfaction</w:t>
      </w:r>
    </w:p>
    <w:p w14:paraId="16363AF0" w14:textId="77777777" w:rsidR="0097271B" w:rsidRDefault="00C46B94">
      <w:pPr>
        <w:jc w:val="both"/>
      </w:pPr>
      <w:r>
        <w:t>Job satisfaction sits between worker perceptions of algorithmic management and the Hirschman (1970) response triad, and in the research model of Section 1.4 it operates as the mediating link. The construct is well established in industrial and organisational psychology, but no dedicated validated scale exists for gig worker satisfaction with algorithmic management specifically. A 2025 bibliometric review confirms that gig worker satisfaction has emerged as a distinct and fast growing research cluster (see t</w:t>
      </w:r>
      <w:r>
        <w:t>he aggregated evidence discussed by Awasthy, Singh and Gupta, 2026). Empirical studies to date operationalise it with adapted general job satisfaction items rather than a purpose built, algorithm specific instrument.</w:t>
      </w:r>
    </w:p>
    <w:p w14:paraId="397FBDDD" w14:textId="77777777" w:rsidR="0097271B" w:rsidRDefault="00C46B94">
      <w:pPr>
        <w:jc w:val="both"/>
      </w:pPr>
      <w:r>
        <w:t>This is a genuine gap in the literature. The Michigan Organizational Assessment Questionnaire satisfaction subscale (Cammann et al., 1979) is the most common substitute in the empirical papers surveyed here and provides three items with confirmed psychometric properties across many samples. Two reasons make it a defensible interim choice for gig worker research. First, its items are agnostic to the source of satisfaction, so they capture overall satisfaction whether the antecedent is human management or alg</w:t>
      </w:r>
      <w:r>
        <w:t>orithmic management. Second, its brevity suits the composite survey in Section 6, which already runs to seven blocks. The interim use should be flagged in any methodology chapter as a measurement choice that awaits a purpose built alternative.</w:t>
      </w:r>
    </w:p>
    <w:p w14:paraId="74A3955C" w14:textId="77777777" w:rsidR="0097271B" w:rsidRDefault="00C46B94">
      <w:pPr>
        <w:jc w:val="both"/>
      </w:pPr>
      <w:r>
        <w:t>Satisfaction is worth theorising even without a purpose built scale because the mediating position it occupies in the research model is analytically productive. Perceived algorithmic control, perceived algorithmic fairness, and perceived transparency each affect satisfaction, and satisfaction in turn predicts loyalty, voice, and exit outcomes. The mediation route is not the only route in the model; Section 1.4 flagged the possibility that voice may be driven by a direct perception route bypassing satisfacti</w:t>
      </w:r>
      <w:r>
        <w:t>on. RQ3 in Section 1.3 tests that direct route against the mediated route. What Section 3 supplies to the model is therefore the default mediation path against which the direct routes will be benchmarked.</w:t>
      </w:r>
    </w:p>
    <w:p w14:paraId="42A5CE9A" w14:textId="77777777" w:rsidR="0097271B" w:rsidRDefault="00C46B94">
      <w:r>
        <w:br w:type="page"/>
      </w:r>
    </w:p>
    <w:p w14:paraId="6DF3BE3D" w14:textId="77777777" w:rsidR="0097271B" w:rsidRDefault="00C46B94">
      <w:pPr>
        <w:pStyle w:val="Heading1"/>
      </w:pPr>
      <w:r>
        <w:rPr>
          <w:rFonts w:ascii="Arial" w:hAnsi="Arial"/>
        </w:rPr>
        <w:lastRenderedPageBreak/>
        <w:t>4. Outcomes</w:t>
      </w:r>
    </w:p>
    <w:p w14:paraId="3AD61143" w14:textId="77777777" w:rsidR="0097271B" w:rsidRDefault="00C46B94">
      <w:pPr>
        <w:jc w:val="both"/>
      </w:pPr>
      <w:r>
        <w:t>Section 4 traces the three response branches in the Hirschman (1970) framework. Loyalty is measured as continuance intention, voice as algoactivism and governance demand, and exit as turnover intention. The three branches together produce the bottom row of the research model in Section 1.4 and close the causal chain from algorithmic decision to worker response.</w:t>
      </w:r>
    </w:p>
    <w:p w14:paraId="41610EC8" w14:textId="77777777" w:rsidR="0097271B" w:rsidRDefault="00C46B94">
      <w:pPr>
        <w:pStyle w:val="Heading2"/>
      </w:pPr>
      <w:r>
        <w:rPr>
          <w:rFonts w:ascii="Arial" w:hAnsi="Arial"/>
        </w:rPr>
        <w:t>4.1 Platform loyalty (continuance intention)</w:t>
      </w:r>
    </w:p>
    <w:p w14:paraId="4380E785" w14:textId="77777777" w:rsidR="0097271B" w:rsidRDefault="00C46B94">
      <w:pPr>
        <w:jc w:val="both"/>
      </w:pPr>
      <w:r>
        <w:t>Loyalty in the platform work context is operationalised as continuance intention, the worker's intention to keep working on the platform. Qiao and Cheng (2023) published a 5 point Likert continuance intention instrument in the Proceedings of Clausius Scientific Press (DOI 10.23977/appep.2023.040807) based on a sample of 309 gig workers. Two of the confirmed items read:</w:t>
      </w:r>
    </w:p>
    <w:p w14:paraId="433EC37D" w14:textId="77777777" w:rsidR="0097271B" w:rsidRDefault="00C46B94">
      <w:pPr>
        <w:spacing w:after="80" w:line="312" w:lineRule="auto"/>
        <w:ind w:left="680"/>
      </w:pPr>
      <w:r>
        <w:rPr>
          <w:i/>
          <w:sz w:val="22"/>
        </w:rPr>
        <w:t>“I hope this job will continue in the future”</w:t>
      </w:r>
    </w:p>
    <w:p w14:paraId="59DE7B02" w14:textId="77777777" w:rsidR="0097271B" w:rsidRDefault="00C46B94">
      <w:pPr>
        <w:spacing w:after="80" w:line="312" w:lineRule="auto"/>
        <w:ind w:left="680"/>
      </w:pPr>
      <w:r>
        <w:rPr>
          <w:i/>
          <w:sz w:val="22"/>
        </w:rPr>
        <w:t>“I hope my job will continue in the future”</w:t>
      </w:r>
    </w:p>
    <w:p w14:paraId="4721EB72" w14:textId="77777777" w:rsidR="0097271B" w:rsidRDefault="00C46B94">
      <w:pPr>
        <w:jc w:val="both"/>
      </w:pPr>
      <w:r>
        <w:t xml:space="preserve">Mustafa and Mansour (2026) extended the loyalty construct through a trust mediated continuance model in Technology in Society (DOI 10.1016/j.techsoc.2026.103394) using a mixed methods design that combined a survey of 790 workers across China, Pakistan, Turkey, and Australia with 40 interviews. Individual item wording is not publicly disclosed in the accessible summary, so the composite survey uses the Qiao and Cheng (2023) items and adds a trust moderator only if the target platform population supports it. </w:t>
      </w:r>
      <w:r>
        <w:t>The two loyalty studies together indicate that continuance intention is the standard operationalisation of the loyalty branch and that trust is the moderator of interest.</w:t>
      </w:r>
    </w:p>
    <w:p w14:paraId="7B524795" w14:textId="77777777" w:rsidR="0097271B" w:rsidRDefault="00C46B94">
      <w:pPr>
        <w:pStyle w:val="Heading2"/>
      </w:pPr>
      <w:r>
        <w:rPr>
          <w:rFonts w:ascii="Arial" w:hAnsi="Arial"/>
        </w:rPr>
        <w:t>4.2 Voice (algoactivism and governance demand)</w:t>
      </w:r>
    </w:p>
    <w:p w14:paraId="1E9110CC" w14:textId="77777777" w:rsidR="0097271B" w:rsidRDefault="00C46B94">
      <w:pPr>
        <w:jc w:val="both"/>
      </w:pPr>
      <w:r>
        <w:t xml:space="preserve">Voice covers workers who respond to algorithmic management by pushing back rather than by silently accepting or leaving. The algoactivism scale (de Jong, Weber and Remus, 2025) reported in Section 2.1.5 is the most gig specific validated voice measure identified. It contains 15 items across three </w:t>
      </w:r>
      <w:r>
        <w:lastRenderedPageBreak/>
        <w:t>dimensions. Four confirmed verbatim items are already reproduced in Section 2.1.5 and repeated in the composite survey (Section 6).</w:t>
      </w:r>
    </w:p>
    <w:p w14:paraId="3E3E2AB7" w14:textId="77777777" w:rsidR="0097271B" w:rsidRDefault="00C46B94">
      <w:pPr>
        <w:jc w:val="both"/>
      </w:pPr>
      <w:r>
        <w:t>Voice at the governance level is operationalised by the Gig Platform Governance scale from Awasthy, Singh and Gupta (2026) in Information Technology and People (DOI 10.1108/ITP-05-2025-0655). The instrument contains 22 items across four dimensions (platform strategies and policies, technical architecture standards, participation and community building, platform ecosystem) validated on 1,432 workers across nine samples. Individual item wording is not disclosed in the accessible summary, so the composite surv</w:t>
      </w:r>
      <w:r>
        <w:t>ey flags the Gig Platform Governance scale as a candidate block that requires access to the original publication before fielding.</w:t>
      </w:r>
    </w:p>
    <w:p w14:paraId="71F988B1" w14:textId="77777777" w:rsidR="0097271B" w:rsidRDefault="00C46B94">
      <w:pPr>
        <w:jc w:val="both"/>
      </w:pPr>
      <w:r>
        <w:t>Bucher and Schou (2022) reported a qualitative study in New Technology, Work and Employment (DOI 10.1111/ntwe.12260) on the breakdown of gig worker solidarity in online communities. The paper provides theoretical context for collective voice and solidarity but offers no validated quantitative scale, so it enters the review as background rather than as a source of survey items. The voice branch of the model is therefore covered by algoactivism at the individual level and by Gig Platform Governance at the col</w:t>
      </w:r>
      <w:r>
        <w:t>lective governance level.</w:t>
      </w:r>
    </w:p>
    <w:p w14:paraId="0CFDE2D1" w14:textId="77777777" w:rsidR="0097271B" w:rsidRDefault="00C46B94">
      <w:pPr>
        <w:pStyle w:val="Heading2"/>
      </w:pPr>
      <w:r>
        <w:rPr>
          <w:rFonts w:ascii="Arial" w:hAnsi="Arial"/>
        </w:rPr>
        <w:t>4.3 Exit (turnover intention)</w:t>
      </w:r>
    </w:p>
    <w:p w14:paraId="02F330CA" w14:textId="77777777" w:rsidR="0097271B" w:rsidRDefault="00C46B94">
      <w:pPr>
        <w:jc w:val="both"/>
      </w:pPr>
      <w:r>
        <w:t xml:space="preserve">Exit is the least well operationalised branch in the current literature. Hajiheydari and Delgosha (2026) published a person centred configurational study in the Journal of Business Research (DOI 10.1016/j.jbusres.2026.116092) using fuzzy set qualitative comparative analysis to identify worker profiles whose combination of algorithmic job demands, resources, and psychological capital predicted high or low intention to leave. The analytical strategy is configurational rather than variance based, so no Likert </w:t>
      </w:r>
      <w:r>
        <w:t>instrument was published. For quantitative work, the composite survey adapts the Michigan Organizational Assessment Questionnaire three item turnover intention subscale (Cammann et al., 1979) as an interim measure until a gig specific turnover instrument is validated.</w:t>
      </w:r>
    </w:p>
    <w:p w14:paraId="46A36616" w14:textId="77777777" w:rsidR="0097271B" w:rsidRDefault="00C46B94">
      <w:r>
        <w:br w:type="page"/>
      </w:r>
    </w:p>
    <w:p w14:paraId="05903663" w14:textId="77777777" w:rsidR="0097271B" w:rsidRDefault="00C46B94">
      <w:pPr>
        <w:pStyle w:val="Heading1"/>
      </w:pPr>
      <w:r>
        <w:rPr>
          <w:rFonts w:ascii="Arial" w:hAnsi="Arial"/>
        </w:rPr>
        <w:lastRenderedPageBreak/>
        <w:t>5. Methodological literature review: agentic AI, digital twins, and research methods for gig worker studies</w:t>
      </w:r>
    </w:p>
    <w:p w14:paraId="088316A9" w14:textId="77777777" w:rsidR="0097271B" w:rsidRDefault="00C46B94">
      <w:pPr>
        <w:jc w:val="both"/>
      </w:pPr>
      <w:r>
        <w:t>The three research questions in Section 1.3 pivot from variance based inference to agentic AI, generative synthesis, and adaptive policy generation. Section 5 reviews the academic scholarship on the four method families that answer those questions: generative AI in research methods (Section 5.1), single AI agents in research methods (Section 5.2), agentic AI with multi agent orchestration in research methods (Section 5.3), and digital twins of human study subjects (Section 5.4). For each family the review c</w:t>
      </w:r>
      <w:r>
        <w:t>overs what the method does, how it has been adopted in academic research, and what gaps remain that this thesis and comparable Indian gig worker studies must close.</w:t>
      </w:r>
    </w:p>
    <w:p w14:paraId="280908B2" w14:textId="77777777" w:rsidR="0097271B" w:rsidRDefault="00C46B94">
      <w:pPr>
        <w:pStyle w:val="Heading2"/>
      </w:pPr>
      <w:r>
        <w:rPr>
          <w:rFonts w:ascii="Arial" w:hAnsi="Arial"/>
        </w:rPr>
        <w:t>5.1 Generative AI in research methods</w:t>
      </w:r>
    </w:p>
    <w:p w14:paraId="7D9F4A16" w14:textId="77777777" w:rsidR="0097271B" w:rsidRDefault="00C46B94">
      <w:pPr>
        <w:jc w:val="both"/>
      </w:pPr>
      <w:r>
        <w:t>Generative AI (GenAI) refers to foundation models that produce realistic text, images, or other human like outputs from a natural language prompt. Bail (2024) in Proceedings of the National Academy of Sciences argues that GenAI has the potential to improve five families of social science method: survey research, online experiments, automated content analysis, agent based models, and content generation for stimuli. Grossmann et al. (2023) in Science issued the parallel field level call, framing GenAI as a tr</w:t>
      </w:r>
      <w:r>
        <w:t>ansformation of social science research that requires urgent adaptation of research practices to preserve replicability and transparency.</w:t>
      </w:r>
    </w:p>
    <w:p w14:paraId="62EA1B63" w14:textId="77777777" w:rsidR="0097271B" w:rsidRDefault="00C46B94">
      <w:pPr>
        <w:jc w:val="both"/>
      </w:pPr>
      <w:r>
        <w:t>Adoption follows two visible tracks in the current literature. First, LLM assisted qualitative coding, in which foundation models are used to label unstructured text with validated codebooks, has entered political science, sociology, and information systems research (Bail, 2024; Grossmann et al., 2023). Second, GenAI has begun to draft survey items and stimulus materials, with the researcher taking a curator rather than an author role. Both tracks reduce the labour cost of qualitative and mixed methods rese</w:t>
      </w:r>
      <w:r>
        <w:t>arch but shift validity risk from the researcher's coding rubric to the model's training distribution.</w:t>
      </w:r>
    </w:p>
    <w:p w14:paraId="4A29864C" w14:textId="77777777" w:rsidR="0097271B" w:rsidRDefault="00C46B94">
      <w:pPr>
        <w:jc w:val="both"/>
      </w:pPr>
      <w:r>
        <w:lastRenderedPageBreak/>
        <w:t xml:space="preserve">Four gaps remain that matter for Indian gig worker research. First, foundation models are trained on Western English dominated corpora and reproduce those cultural priors, which Bail (2024) calls out as a systematic bias source. Second, replication of GenAI assisted studies is not straightforward because the same prompt yields different completions across model versions. Third, no gig worker specific fine tune or evaluation benchmark has been published for algorithmic management perceptions. Fourth, ethics </w:t>
      </w:r>
      <w:r>
        <w:t>protocols for GenAI assisted studies with vulnerable worker populations remain thin. This thesis contributes to closing gaps three and four by supplying a validated construct backbone and by publishing the participant information sheet used in Section 6.2.</w:t>
      </w:r>
    </w:p>
    <w:p w14:paraId="3611E993" w14:textId="77777777" w:rsidR="0097271B" w:rsidRDefault="00C46B94">
      <w:pPr>
        <w:pStyle w:val="Heading2"/>
      </w:pPr>
      <w:r>
        <w:rPr>
          <w:rFonts w:ascii="Arial" w:hAnsi="Arial"/>
        </w:rPr>
        <w:t>5.2 AI agents in research methods</w:t>
      </w:r>
    </w:p>
    <w:p w14:paraId="683A8FAE" w14:textId="77777777" w:rsidR="0097271B" w:rsidRDefault="00C46B94">
      <w:pPr>
        <w:jc w:val="both"/>
      </w:pPr>
      <w:r>
        <w:t>An AI agent, in the research methods sense, is a foundation model wrapped with memory, planning, and tool use so that it can execute a task over multiple steps without step by step human prompting. Argyle et al. (2023) in Political Analysis demonstrated the single agent method most directly relevant to survey research: an LLM conditioned on demographic and attitudinal descriptions of a target group produced responses that reproduced known human sample distributions on political attitudes with substantial fi</w:t>
      </w:r>
      <w:r>
        <w:t>delity. They called this out of one, many, reflecting that one model can be steered to represent many humans.</w:t>
      </w:r>
    </w:p>
    <w:p w14:paraId="29A6F9E7" w14:textId="77777777" w:rsidR="0097271B" w:rsidRDefault="00C46B94">
      <w:pPr>
        <w:jc w:val="both"/>
      </w:pPr>
      <w:r>
        <w:t>Adoption has been fastest in behavioural economics, marketing, and human computer interaction, where researchers use single agents as synthetic pilot respondents before fielding a costly human survey. The method also enters research design as an aid to hypothesis generation, with agents used to explore the response space of a stimulus before the researcher commits to a data collection plan (Argyle et al., 2023; Bail, 2024).</w:t>
      </w:r>
    </w:p>
    <w:p w14:paraId="05CDD7C8" w14:textId="77777777" w:rsidR="0097271B" w:rsidRDefault="00C46B94">
      <w:pPr>
        <w:jc w:val="both"/>
      </w:pPr>
      <w:r>
        <w:t>Three gaps constrain the single agent method for gig worker research. First, a single agent conditioned on aggregate demographics cannot represent worker heterogeneity across perception profiles (control, fairness, transparency), which is the analytical variance the research model in Section 1.4 depends on. Second, single agents exhibit prompt sensitivity, so the same demographic conditioning yields different attitudes when the prompt phrasing shifts. Third, no published single agent study calibrates on Ind</w:t>
      </w:r>
      <w:r>
        <w:t xml:space="preserve">ian gig worker data, so external </w:t>
      </w:r>
      <w:r>
        <w:lastRenderedPageBreak/>
        <w:t>validity for the RQ1 platform redesign question is unestablished. RQ1 in Section 1.3 responds to gap one by moving from single agent to multi agent architecture.</w:t>
      </w:r>
    </w:p>
    <w:p w14:paraId="44DBC45C" w14:textId="77777777" w:rsidR="0097271B" w:rsidRDefault="00C46B94">
      <w:pPr>
        <w:pStyle w:val="Heading2"/>
      </w:pPr>
      <w:r>
        <w:rPr>
          <w:rFonts w:ascii="Arial" w:hAnsi="Arial"/>
        </w:rPr>
        <w:t>5.3 Agentic AI and multi agent orchestration in research methods</w:t>
      </w:r>
    </w:p>
    <w:p w14:paraId="3E08D9CF" w14:textId="77777777" w:rsidR="0097271B" w:rsidRDefault="00C46B94">
      <w:pPr>
        <w:jc w:val="both"/>
      </w:pPr>
      <w:r>
        <w:t xml:space="preserve">Agentic AI extends the single agent construct through orchestration, in which multiple agents with distinct roles, memories, and tool sets interact over time to produce collective behaviour that no single agent could produce alone. Park et al. (2023) at UIST populated a sandbox with 25 generative agents that planned days, formed relationships, and coordinated a Valentine's Day party without central scripting, and demonstrated that observation, planning, and reflection each contribute to believable emergent </w:t>
      </w:r>
      <w:r>
        <w:t>behaviour. Wu et al. (2024) released AutoGen, a framework that formalises the multi agent conversation pattern and has become one of the most cited orchestration substrates in the current literature.</w:t>
      </w:r>
    </w:p>
    <w:p w14:paraId="7498B29D" w14:textId="77777777" w:rsidR="0097271B" w:rsidRDefault="00C46B94">
      <w:pPr>
        <w:jc w:val="both"/>
      </w:pPr>
      <w:r>
        <w:t>Academic adoption is concentrated in three areas. First, social simulation studies use multi agent generative populations to test what if scenarios that could not be run on human subjects for ethical or logistical reasons (Park et al., 2023). Second, agentic policy analysis studies test regulatory interventions across simulated cohorts before enactment. Third, agentic research automation studies delegate steps of the research pipeline (search, summarise, code, critique) to different agents that pass artefac</w:t>
      </w:r>
      <w:r>
        <w:t>ts between each other (Wu et al., 2024).</w:t>
      </w:r>
    </w:p>
    <w:p w14:paraId="210917C4" w14:textId="77777777" w:rsidR="0097271B" w:rsidRDefault="00C46B94">
      <w:pPr>
        <w:jc w:val="both"/>
      </w:pPr>
      <w:r>
        <w:t>Three gaps matter for the gig worker research programme this thesis frames. First, no standardised orchestration protocol exists for social science research, so every study reinvents the coordination layer, which harms replicability. Second, no gig worker specific multi agent architecture has been published, so the mapping from Indian ride hailing, delivery, home services, and logistics workers to agent role definitions has to be built from scratch. Third, emergent behaviour reproducibility across runs rema</w:t>
      </w:r>
      <w:r>
        <w:t xml:space="preserve">ins an open methodological problem, which limits the confidence with which RQ3 style regulatory recommendations can be defended. RQ1 and RQ3 in Section 1.3 sit inside this gap set, and the </w:t>
      </w:r>
      <w:r>
        <w:lastRenderedPageBreak/>
        <w:t>composite survey in Section 6 supplies the construct backbone the orchestration needs.</w:t>
      </w:r>
    </w:p>
    <w:p w14:paraId="74E16EE0" w14:textId="77777777" w:rsidR="0097271B" w:rsidRDefault="00C46B94">
      <w:pPr>
        <w:pStyle w:val="Heading2"/>
      </w:pPr>
      <w:r>
        <w:rPr>
          <w:rFonts w:ascii="Arial" w:hAnsi="Arial"/>
        </w:rPr>
        <w:t>5.4 Digital twins of human study subjects</w:t>
      </w:r>
    </w:p>
    <w:p w14:paraId="07677BD1" w14:textId="77777777" w:rsidR="0097271B" w:rsidRDefault="00C46B94">
      <w:pPr>
        <w:jc w:val="both"/>
      </w:pPr>
      <w:r>
        <w:t>Digital twins of human subjects extend the multi agent method by grounding each agent in longitudinal individual data rather than in a persona description. Toubia et al. (2025) released Twin 2K 500, a dataset of 2,058 United States respondents surveyed across four waves with 500 questions covering demographics, psychology, economic preferences, personality, and cognitive measures, with the final wave repeating earlier tasks to establish a test retest baseline. Their initial analyses show that LLM based digi</w:t>
      </w:r>
      <w:r>
        <w:t>tal twins built on this dataset can predict individual and aggregate human behaviour with useful accuracy on the held out final wave.</w:t>
      </w:r>
    </w:p>
    <w:p w14:paraId="2805BEE5" w14:textId="77777777" w:rsidR="0097271B" w:rsidRDefault="00C46B94">
      <w:pPr>
        <w:jc w:val="both"/>
      </w:pPr>
      <w:r>
        <w:t>Adoption in customer research and marketing has moved fastest, where digital twins built on interview data outperform persona only twins and demographic only synthetic users on held out survey questions and behavioural economics games. Digital twin fidelity varies systematically by race, socioeconomic class, and political view, with white respondents predicted more accurately than other groups when the twin is built from demographic priors alone (Toubia et al., 2025).</w:t>
      </w:r>
    </w:p>
    <w:p w14:paraId="7F7912FB" w14:textId="77777777" w:rsidR="0097271B" w:rsidRDefault="00C46B94">
      <w:pPr>
        <w:jc w:val="both"/>
      </w:pPr>
      <w:r>
        <w:t>The gap set for Indian gig worker research is stark. First, no published digital twin dataset contains Indian gig workers, so any twin used for RQ1 platform redesign has to be trained on Indian ride hailing, delivery, home services, and logistics worker data that the community does not currently possess. Second, the demographic to attitude mapping that underpins twin fidelity has not been calibrated for Indian caste, region, or platform category effects. Third, gig worker specific privacy protections beyond</w:t>
      </w:r>
      <w:r>
        <w:t xml:space="preserve"> the Digital Personal Data Protection Act 2023 have not been codified. The pilot sampling frame in Section 6.2.4 is a first small step toward closing gap one by collecting five workers per platform category as the seed for a larger twin dataset that a subsequent doctoral programme could build.</w:t>
      </w:r>
    </w:p>
    <w:p w14:paraId="62DA2570" w14:textId="77777777" w:rsidR="0097271B" w:rsidRDefault="00C46B94">
      <w:pPr>
        <w:pStyle w:val="Heading2"/>
      </w:pPr>
      <w:r>
        <w:rPr>
          <w:rFonts w:ascii="Arial" w:hAnsi="Arial"/>
        </w:rPr>
        <w:lastRenderedPageBreak/>
        <w:t>5.5 Constitutive contributions to research methods</w:t>
      </w:r>
    </w:p>
    <w:p w14:paraId="65DB1612" w14:textId="77777777" w:rsidR="0097271B" w:rsidRDefault="00C46B94">
      <w:pPr>
        <w:jc w:val="both"/>
      </w:pPr>
      <w:r>
        <w:t>A common critique of GenAI, agentic AI, and digital twin tools in academic research is that they are supportive rather than constitutive. On the supportive view, these tools speed up existing methods (faster coding, cheaper pilots, quicker literature review) but do not add a new research act to the discipline. Section 5.5 argues the opposite. Each of the four method families creates a research object that variance based inference, ethnography, and descriptive analysis could not construct at all, and therefo</w:t>
      </w:r>
      <w:r>
        <w:t>re each is constitutive of a new class of research question rather than an accelerator of an old one. Table 5.1 sets out the argument row by row.</w:t>
      </w:r>
    </w:p>
    <w:p w14:paraId="20EAAF52" w14:textId="77777777" w:rsidR="0097271B" w:rsidRDefault="00C46B94">
      <w:pPr>
        <w:spacing w:before="200" w:after="80"/>
      </w:pPr>
      <w:r>
        <w:rPr>
          <w:b/>
          <w:sz w:val="22"/>
        </w:rPr>
        <w:t>Table 5.1  Constitutive contributions of the four method families to research methods.</w:t>
      </w:r>
    </w:p>
    <w:tbl>
      <w:tblPr>
        <w:tblW w:w="0" w:type="auto"/>
        <w:jc w:val="center"/>
        <w:tblLayout w:type="fixed"/>
        <w:tblLook w:val="04A0" w:firstRow="1" w:lastRow="0" w:firstColumn="1" w:lastColumn="0" w:noHBand="0" w:noVBand="1"/>
      </w:tblPr>
      <w:tblGrid>
        <w:gridCol w:w="1474"/>
        <w:gridCol w:w="2494"/>
        <w:gridCol w:w="2494"/>
        <w:gridCol w:w="1474"/>
      </w:tblGrid>
      <w:tr w:rsidR="0097271B" w14:paraId="2FFA25AF" w14:textId="77777777">
        <w:trPr>
          <w:jc w:val="center"/>
        </w:trPr>
        <w:tc>
          <w:tcPr>
            <w:tcW w:w="1474" w:type="dxa"/>
            <w:shd w:val="clear" w:color="auto" w:fill="E7E6E6"/>
          </w:tcPr>
          <w:p w14:paraId="66549D27" w14:textId="77777777" w:rsidR="0097271B" w:rsidRDefault="00C46B94">
            <w:pPr>
              <w:spacing w:before="40" w:after="40" w:line="276" w:lineRule="auto"/>
            </w:pPr>
            <w:r>
              <w:rPr>
                <w:b/>
                <w:sz w:val="18"/>
              </w:rPr>
              <w:t>Method family</w:t>
            </w:r>
          </w:p>
        </w:tc>
        <w:tc>
          <w:tcPr>
            <w:tcW w:w="2494" w:type="dxa"/>
            <w:shd w:val="clear" w:color="auto" w:fill="E7E6E6"/>
          </w:tcPr>
          <w:p w14:paraId="571DBC21" w14:textId="77777777" w:rsidR="0097271B" w:rsidRDefault="00C46B94">
            <w:pPr>
              <w:spacing w:before="40" w:after="40" w:line="276" w:lineRule="auto"/>
            </w:pPr>
            <w:r>
              <w:rPr>
                <w:b/>
                <w:sz w:val="18"/>
              </w:rPr>
              <w:t>Research act now made possible</w:t>
            </w:r>
          </w:p>
        </w:tc>
        <w:tc>
          <w:tcPr>
            <w:tcW w:w="2494" w:type="dxa"/>
            <w:shd w:val="clear" w:color="auto" w:fill="E7E6E6"/>
          </w:tcPr>
          <w:p w14:paraId="2AC72B76" w14:textId="77777777" w:rsidR="0097271B" w:rsidRDefault="00C46B94">
            <w:pPr>
              <w:spacing w:before="40" w:after="40" w:line="276" w:lineRule="auto"/>
            </w:pPr>
            <w:r>
              <w:rPr>
                <w:b/>
                <w:sz w:val="18"/>
              </w:rPr>
              <w:t>Why traditional methods (SEM, ethnography, descriptive statistics) could not do this</w:t>
            </w:r>
          </w:p>
        </w:tc>
        <w:tc>
          <w:tcPr>
            <w:tcW w:w="1474" w:type="dxa"/>
            <w:shd w:val="clear" w:color="auto" w:fill="E7E6E6"/>
          </w:tcPr>
          <w:p w14:paraId="35DB0FCE" w14:textId="77777777" w:rsidR="0097271B" w:rsidRDefault="00C46B94">
            <w:pPr>
              <w:spacing w:before="40" w:after="40" w:line="276" w:lineRule="auto"/>
            </w:pPr>
            <w:r>
              <w:rPr>
                <w:b/>
                <w:sz w:val="18"/>
              </w:rPr>
              <w:t>Constitutive contribution (the new research object)</w:t>
            </w:r>
          </w:p>
        </w:tc>
      </w:tr>
      <w:tr w:rsidR="0097271B" w14:paraId="7CAA87A5" w14:textId="77777777">
        <w:trPr>
          <w:jc w:val="center"/>
        </w:trPr>
        <w:tc>
          <w:tcPr>
            <w:tcW w:w="1474" w:type="dxa"/>
          </w:tcPr>
          <w:p w14:paraId="2A8467DE" w14:textId="77777777" w:rsidR="0097271B" w:rsidRDefault="00C46B94">
            <w:pPr>
              <w:spacing w:before="40" w:after="40" w:line="276" w:lineRule="auto"/>
            </w:pPr>
            <w:r>
              <w:rPr>
                <w:sz w:val="16"/>
              </w:rPr>
              <w:t>Generative AI</w:t>
            </w:r>
            <w:r>
              <w:rPr>
                <w:sz w:val="16"/>
              </w:rPr>
              <w:br/>
              <w:t>(Section 5.1)</w:t>
            </w:r>
            <w:r>
              <w:rPr>
                <w:sz w:val="16"/>
              </w:rPr>
              <w:br/>
              <w:t>Bail, 2024; Grossmann et al., 2023</w:t>
            </w:r>
          </w:p>
        </w:tc>
        <w:tc>
          <w:tcPr>
            <w:tcW w:w="2494" w:type="dxa"/>
          </w:tcPr>
          <w:p w14:paraId="34917974" w14:textId="77777777" w:rsidR="0097271B" w:rsidRDefault="00C46B94">
            <w:pPr>
              <w:spacing w:before="40" w:after="40" w:line="276" w:lineRule="auto"/>
            </w:pPr>
            <w:r>
              <w:rPr>
                <w:sz w:val="16"/>
              </w:rPr>
              <w:t>Population scale coding of unstructured worker text (interviews, reviews, social posts, exit narratives) against validated construct codebooks for the perception constructs in Sections 2.1.2 to 2.1.4</w:t>
            </w:r>
          </w:p>
        </w:tc>
        <w:tc>
          <w:tcPr>
            <w:tcW w:w="2494" w:type="dxa"/>
          </w:tcPr>
          <w:p w14:paraId="4BED2DC2" w14:textId="77777777" w:rsidR="0097271B" w:rsidRDefault="00C46B94">
            <w:pPr>
              <w:spacing w:before="40" w:after="40" w:line="276" w:lineRule="auto"/>
            </w:pPr>
            <w:r>
              <w:rPr>
                <w:sz w:val="16"/>
              </w:rPr>
              <w:t>Manual coding is bounded by trained coder capacity and takes months for large corpora. Keyword and dictionary methods miss contextual meaning. Classical supervised classifiers need labelled training data that does not exist for gig worker constructs</w:t>
            </w:r>
          </w:p>
        </w:tc>
        <w:tc>
          <w:tcPr>
            <w:tcW w:w="1474" w:type="dxa"/>
          </w:tcPr>
          <w:p w14:paraId="6501446A" w14:textId="77777777" w:rsidR="0097271B" w:rsidRDefault="00C46B94">
            <w:pPr>
              <w:spacing w:before="40" w:after="40" w:line="276" w:lineRule="auto"/>
            </w:pPr>
            <w:r>
              <w:rPr>
                <w:sz w:val="16"/>
              </w:rPr>
              <w:t>Unstructured text becomes a first class data source for construct measurement rather than illustrative material</w:t>
            </w:r>
          </w:p>
        </w:tc>
      </w:tr>
      <w:tr w:rsidR="0097271B" w14:paraId="5EACEB81" w14:textId="77777777">
        <w:trPr>
          <w:jc w:val="center"/>
        </w:trPr>
        <w:tc>
          <w:tcPr>
            <w:tcW w:w="1474" w:type="dxa"/>
          </w:tcPr>
          <w:p w14:paraId="3522CFC9" w14:textId="77777777" w:rsidR="0097271B" w:rsidRDefault="00C46B94">
            <w:pPr>
              <w:spacing w:before="40" w:after="40" w:line="276" w:lineRule="auto"/>
            </w:pPr>
            <w:r>
              <w:rPr>
                <w:sz w:val="16"/>
              </w:rPr>
              <w:t>AI agents</w:t>
            </w:r>
            <w:r>
              <w:rPr>
                <w:sz w:val="16"/>
              </w:rPr>
              <w:br/>
              <w:t>(Section 5.2)</w:t>
            </w:r>
            <w:r>
              <w:rPr>
                <w:sz w:val="16"/>
              </w:rPr>
              <w:br/>
              <w:t>Argyle et al., 2023</w:t>
            </w:r>
          </w:p>
        </w:tc>
        <w:tc>
          <w:tcPr>
            <w:tcW w:w="2494" w:type="dxa"/>
          </w:tcPr>
          <w:p w14:paraId="138A1BD4" w14:textId="77777777" w:rsidR="0097271B" w:rsidRDefault="00C46B94">
            <w:pPr>
              <w:spacing w:before="40" w:after="40" w:line="276" w:lineRule="auto"/>
            </w:pPr>
            <w:r>
              <w:rPr>
                <w:sz w:val="16"/>
              </w:rPr>
              <w:t>A synthetic pilot phase in survey research that catches item wording bias, framing effects, and dead question sequences before any human respondent is recruited</w:t>
            </w:r>
          </w:p>
        </w:tc>
        <w:tc>
          <w:tcPr>
            <w:tcW w:w="2494" w:type="dxa"/>
          </w:tcPr>
          <w:p w14:paraId="345A4445" w14:textId="77777777" w:rsidR="0097271B" w:rsidRDefault="00C46B94">
            <w:pPr>
              <w:spacing w:before="40" w:after="40" w:line="276" w:lineRule="auto"/>
            </w:pPr>
            <w:r>
              <w:rPr>
                <w:sz w:val="16"/>
              </w:rPr>
              <w:t>Cognitive interviews with human pilots are slow, small in n, and expensive. A or B testing draft items requires actual fielding, which imposes ethics and recruitment cost before the defects are known</w:t>
            </w:r>
          </w:p>
        </w:tc>
        <w:tc>
          <w:tcPr>
            <w:tcW w:w="1474" w:type="dxa"/>
          </w:tcPr>
          <w:p w14:paraId="05F9E403" w14:textId="77777777" w:rsidR="0097271B" w:rsidRDefault="00C46B94">
            <w:pPr>
              <w:spacing w:before="40" w:after="40" w:line="276" w:lineRule="auto"/>
            </w:pPr>
            <w:r>
              <w:rPr>
                <w:sz w:val="16"/>
              </w:rPr>
              <w:t>A new zero cost pre fielding stage in the research pipeline that catches survey defects before human contact</w:t>
            </w:r>
          </w:p>
        </w:tc>
      </w:tr>
      <w:tr w:rsidR="0097271B" w14:paraId="52C5E10C" w14:textId="77777777">
        <w:trPr>
          <w:jc w:val="center"/>
        </w:trPr>
        <w:tc>
          <w:tcPr>
            <w:tcW w:w="1474" w:type="dxa"/>
          </w:tcPr>
          <w:p w14:paraId="2AD39858" w14:textId="77777777" w:rsidR="0097271B" w:rsidRDefault="00C46B94">
            <w:pPr>
              <w:spacing w:before="40" w:after="40" w:line="276" w:lineRule="auto"/>
            </w:pPr>
            <w:r>
              <w:rPr>
                <w:sz w:val="16"/>
              </w:rPr>
              <w:t>Agentic AI, multi agent orchestration</w:t>
            </w:r>
            <w:r>
              <w:rPr>
                <w:sz w:val="16"/>
              </w:rPr>
              <w:br/>
              <w:t>(Section 5.3)</w:t>
            </w:r>
            <w:r>
              <w:rPr>
                <w:sz w:val="16"/>
              </w:rPr>
              <w:br/>
              <w:t>Park et al., 2023; Wu et al., 2024</w:t>
            </w:r>
          </w:p>
        </w:tc>
        <w:tc>
          <w:tcPr>
            <w:tcW w:w="2494" w:type="dxa"/>
          </w:tcPr>
          <w:p w14:paraId="128831B4" w14:textId="77777777" w:rsidR="0097271B" w:rsidRDefault="00C46B94">
            <w:pPr>
              <w:spacing w:before="40" w:after="40" w:line="276" w:lineRule="auto"/>
            </w:pPr>
            <w:r>
              <w:rPr>
                <w:sz w:val="16"/>
              </w:rPr>
              <w:t>Prospective counterfactual testing of algorithmic management redesigns and regulatory interventions across heterogeneous worker cohorts before any change touches a live worker or a live market</w:t>
            </w:r>
          </w:p>
        </w:tc>
        <w:tc>
          <w:tcPr>
            <w:tcW w:w="2494" w:type="dxa"/>
          </w:tcPr>
          <w:p w14:paraId="0DE76FAE" w14:textId="77777777" w:rsidR="0097271B" w:rsidRDefault="00C46B94">
            <w:pPr>
              <w:spacing w:before="40" w:after="40" w:line="276" w:lineRule="auto"/>
            </w:pPr>
            <w:r>
              <w:rPr>
                <w:sz w:val="16"/>
              </w:rPr>
              <w:t>Randomised controlled trials on platform workers face ethical, contractual, and regulatory constraints. Structural equation modelling measures observed variance in the current design and cannot forecast the outcome of an unbuilt design</w:t>
            </w:r>
          </w:p>
        </w:tc>
        <w:tc>
          <w:tcPr>
            <w:tcW w:w="1474" w:type="dxa"/>
          </w:tcPr>
          <w:p w14:paraId="02B41CEA" w14:textId="77777777" w:rsidR="0097271B" w:rsidRDefault="00C46B94">
            <w:pPr>
              <w:spacing w:before="40" w:after="40" w:line="276" w:lineRule="auto"/>
            </w:pPr>
            <w:r>
              <w:rPr>
                <w:sz w:val="16"/>
              </w:rPr>
              <w:t>A searchable design space of interventions and policies, not merely a description of the current state of the platform or the current statute</w:t>
            </w:r>
          </w:p>
        </w:tc>
      </w:tr>
      <w:tr w:rsidR="0097271B" w14:paraId="7DB8FF52" w14:textId="77777777">
        <w:trPr>
          <w:jc w:val="center"/>
        </w:trPr>
        <w:tc>
          <w:tcPr>
            <w:tcW w:w="1474" w:type="dxa"/>
          </w:tcPr>
          <w:p w14:paraId="0C57715E" w14:textId="77777777" w:rsidR="0097271B" w:rsidRDefault="00C46B94">
            <w:pPr>
              <w:spacing w:before="40" w:after="40" w:line="276" w:lineRule="auto"/>
            </w:pPr>
            <w:r>
              <w:rPr>
                <w:sz w:val="16"/>
              </w:rPr>
              <w:t>Digital twins of humans</w:t>
            </w:r>
            <w:r>
              <w:rPr>
                <w:sz w:val="16"/>
              </w:rPr>
              <w:br/>
              <w:t>(Section 5.4)</w:t>
            </w:r>
            <w:r>
              <w:rPr>
                <w:sz w:val="16"/>
              </w:rPr>
              <w:br/>
              <w:t>Toubia et al., 2025</w:t>
            </w:r>
          </w:p>
        </w:tc>
        <w:tc>
          <w:tcPr>
            <w:tcW w:w="2494" w:type="dxa"/>
          </w:tcPr>
          <w:p w14:paraId="11A4CBC3" w14:textId="77777777" w:rsidR="0097271B" w:rsidRDefault="00C46B94">
            <w:pPr>
              <w:spacing w:before="40" w:after="40" w:line="276" w:lineRule="auto"/>
            </w:pPr>
            <w:r>
              <w:rPr>
                <w:sz w:val="16"/>
              </w:rPr>
              <w:t xml:space="preserve">Individual level longitudinal prediction of worker responses to hypothetical platform changes, built from cross modal fragments (survey answers, in app traces, narrative interviews) </w:t>
            </w:r>
            <w:r>
              <w:rPr>
                <w:sz w:val="16"/>
              </w:rPr>
              <w:lastRenderedPageBreak/>
              <w:t>collected in a single wave</w:t>
            </w:r>
          </w:p>
        </w:tc>
        <w:tc>
          <w:tcPr>
            <w:tcW w:w="2494" w:type="dxa"/>
          </w:tcPr>
          <w:p w14:paraId="7A29BC8C" w14:textId="77777777" w:rsidR="0097271B" w:rsidRDefault="00C46B94">
            <w:pPr>
              <w:spacing w:before="40" w:after="40" w:line="276" w:lineRule="auto"/>
            </w:pPr>
            <w:r>
              <w:rPr>
                <w:sz w:val="16"/>
              </w:rPr>
              <w:lastRenderedPageBreak/>
              <w:t xml:space="preserve">Panel studies require the same respondent to be re interviewed over time, which is expensive and suffers attrition. Persona methods aggregate across individuals and lose within person variance. Cross </w:t>
            </w:r>
            <w:r>
              <w:rPr>
                <w:sz w:val="16"/>
              </w:rPr>
              <w:lastRenderedPageBreak/>
              <w:t>sectional surveys cannot predict individual response to unseen changes</w:t>
            </w:r>
          </w:p>
        </w:tc>
        <w:tc>
          <w:tcPr>
            <w:tcW w:w="1474" w:type="dxa"/>
          </w:tcPr>
          <w:p w14:paraId="2E33365B" w14:textId="77777777" w:rsidR="0097271B" w:rsidRDefault="00C46B94">
            <w:pPr>
              <w:spacing w:before="40" w:after="40" w:line="276" w:lineRule="auto"/>
            </w:pPr>
            <w:r>
              <w:rPr>
                <w:sz w:val="16"/>
              </w:rPr>
              <w:lastRenderedPageBreak/>
              <w:t xml:space="preserve">A persistent research subject that outlives any single survey wave and can be re queried across the doctoral </w:t>
            </w:r>
            <w:r>
              <w:rPr>
                <w:sz w:val="16"/>
              </w:rPr>
              <w:lastRenderedPageBreak/>
              <w:t>programme without recontacting the worker</w:t>
            </w:r>
          </w:p>
        </w:tc>
      </w:tr>
    </w:tbl>
    <w:p w14:paraId="3D27EAD2" w14:textId="77777777" w:rsidR="0097271B" w:rsidRDefault="00C46B94">
      <w:pPr>
        <w:spacing w:before="40" w:after="200"/>
      </w:pPr>
      <w:r>
        <w:rPr>
          <w:i/>
          <w:sz w:val="20"/>
        </w:rPr>
        <w:lastRenderedPageBreak/>
        <w:t>Source: this thesis. Anchor citations for each row are Bail (2024) and Grossmann et al. (2023) for GenAI; Argyle et al. (2023) for AI agents; Park et al. (2023) and Wu et al. (2024) for agentic AI and multi agent orchestration; Toubia et al. (2025) for digital twins.</w:t>
      </w:r>
    </w:p>
    <w:p w14:paraId="3F6841D9" w14:textId="77777777" w:rsidR="0097271B" w:rsidRDefault="00C46B94">
      <w:pPr>
        <w:jc w:val="both"/>
      </w:pPr>
      <w:r>
        <w:t>The four rows together support one claim: the shift from variance based inference to agentic AI and digital twin methods is not an efficiency upgrade but an ontological one. The research object changes. Text becomes data (row 1), synthetic respondents become a design phase (row 2), unbuilt designs become searchable (row 3), and individual subjects become persistent across waves (row 4). Each of these research objects sits outside the reach of the traditional methods listed in column three. RQ1, RQ2, and RQ3</w:t>
      </w:r>
      <w:r>
        <w:t xml:space="preserve"> in Section 1.3 therefore ask questions that cannot be reduced to a covariance question on the current state of Indian gig platforms; they ask questions about research objects the four method families constitute.</w:t>
      </w:r>
    </w:p>
    <w:p w14:paraId="1DB2E738" w14:textId="77777777" w:rsidR="0097271B" w:rsidRDefault="00C46B94">
      <w:pPr>
        <w:pStyle w:val="Heading2"/>
      </w:pPr>
      <w:r>
        <w:rPr>
          <w:rFonts w:ascii="Arial" w:hAnsi="Arial"/>
        </w:rPr>
        <w:t>5.6 What is missed on agents, present limitations, and new research possibilities</w:t>
      </w:r>
    </w:p>
    <w:p w14:paraId="735D0A76" w14:textId="77777777" w:rsidR="0097271B" w:rsidRDefault="00C46B94">
      <w:pPr>
        <w:jc w:val="both"/>
      </w:pPr>
      <w:r>
        <w:t>Section 5.6 completes the methodological review with three items that the four subsections above did not fully cover. Section 5.6.1 fills in agent architecture developments that changed the shape of what an agent can do for gig worker research. Section 5.6.2 catalogues five limitations that cut across all four method families. Section 5.6.3 identifies five new research possibilities the four families open that variance based methods could not.</w:t>
      </w:r>
    </w:p>
    <w:p w14:paraId="536736C5" w14:textId="77777777" w:rsidR="0097271B" w:rsidRDefault="00C46B94">
      <w:pPr>
        <w:pStyle w:val="Heading3"/>
      </w:pPr>
      <w:r>
        <w:rPr>
          <w:rFonts w:ascii="Arial" w:hAnsi="Arial"/>
        </w:rPr>
        <w:t>5.6.1 Coverage missed in the agent literature review</w:t>
      </w:r>
    </w:p>
    <w:p w14:paraId="39ACFE9B" w14:textId="77777777" w:rsidR="0097271B" w:rsidRDefault="00C46B94">
      <w:pPr>
        <w:jc w:val="both"/>
      </w:pPr>
      <w:r>
        <w:t>Section 5.2 anchored on Argyle et al. (2023) as the first widely cited single agent method for survey research. Three subsequent developments in agent architecture change what an agent can do for gig worker research and deserve explicit mention.</w:t>
      </w:r>
    </w:p>
    <w:p w14:paraId="3CB04E62" w14:textId="77777777" w:rsidR="0097271B" w:rsidRDefault="00C46B94">
      <w:pPr>
        <w:jc w:val="both"/>
      </w:pPr>
      <w:r>
        <w:t xml:space="preserve">First, tool use agents. Yao et al. (2023) at ICLR proposed ReAct, an architecture in which the agent interleaves reasoning with tool actions (search, calculator, code execution) so that the agent can retrieve external information </w:t>
      </w:r>
      <w:r>
        <w:lastRenderedPageBreak/>
        <w:t>mid task rather than depending only on the model's internal knowledge. For gig worker research a tool use agent can compute a perception score mid interview, query a labour law database as a policy question arises, or run a small simulation without the researcher stopping the pipeline.</w:t>
      </w:r>
    </w:p>
    <w:p w14:paraId="52BBE9C8" w14:textId="77777777" w:rsidR="0097271B" w:rsidRDefault="00C46B94">
      <w:pPr>
        <w:jc w:val="both"/>
      </w:pPr>
      <w:r>
        <w:t>Second, autonomous research agents. Boiko, MacKnight and Gomes (2023) demonstrated a system that combined multiple foundation models to design, plan, and execute wet lab chemistry experiments end to end, and reported the risk implications of autonomous science. For gig worker research the analogue is an agent tasked with a whole survey validation pipeline: draft items, run a cognitive pilot on synthetic respondents, revise, retest, and hand a validated instrument back to the researcher for human pilot field</w:t>
      </w:r>
      <w:r>
        <w:t>ing. This is the survey operationalisation of the autonomy demonstrated in chemistry.</w:t>
      </w:r>
    </w:p>
    <w:p w14:paraId="0E0471E1" w14:textId="77777777" w:rsidR="0097271B" w:rsidRDefault="00C46B94">
      <w:pPr>
        <w:jc w:val="both"/>
      </w:pPr>
      <w:r>
        <w:t>Third, the ethics of agent mediated research. Section 5.2 identified prompt sensitivity and demographic conditioning as gaps but did not address the consent question. When an agent represents a synthetic worker in a pilot, no human has consented, and the aggregate demographic profile the agent is conditioned on may be traceable to a real population. Digital twins (Section 5.4) sharpen the question because the twin is grounded in an identifiable individual's data. Section 6.2.3 (Section III of the participan</w:t>
      </w:r>
      <w:r>
        <w:t>t information sheet) handles the human respondent consent case; the synthetic respondent case remains an open ethics question for the doctoral programme.</w:t>
      </w:r>
    </w:p>
    <w:p w14:paraId="5B917E82" w14:textId="77777777" w:rsidR="0097271B" w:rsidRDefault="00C46B94">
      <w:pPr>
        <w:pStyle w:val="Heading3"/>
      </w:pPr>
      <w:r>
        <w:rPr>
          <w:rFonts w:ascii="Arial" w:hAnsi="Arial"/>
        </w:rPr>
        <w:t>5.6.2 Present limitations across the four method families</w:t>
      </w:r>
    </w:p>
    <w:p w14:paraId="77AF1CC9" w14:textId="77777777" w:rsidR="0097271B" w:rsidRDefault="00C46B94">
      <w:pPr>
        <w:jc w:val="both"/>
      </w:pPr>
      <w:r>
        <w:t>Five limitations cut across all four method families and are separate from the family specific gaps listed in Sections 5.1 to 5.4. Each is presented with a worked example that shows how the limitation appears in an Indian gig worker research pipeline.</w:t>
      </w:r>
    </w:p>
    <w:p w14:paraId="13F049E0" w14:textId="77777777" w:rsidR="0097271B" w:rsidRDefault="00C46B94">
      <w:pPr>
        <w:spacing w:before="80" w:after="80"/>
        <w:ind w:left="454" w:hanging="227"/>
      </w:pPr>
      <w:r>
        <w:rPr>
          <w:b/>
        </w:rPr>
        <w:t xml:space="preserve">•  Hallucination.  </w:t>
      </w:r>
      <w:r>
        <w:t xml:space="preserve">Foundation models generate plausible but false content. </w:t>
      </w:r>
      <w:r>
        <w:rPr>
          <w:i/>
        </w:rPr>
        <w:t xml:space="preserve">For example: </w:t>
      </w:r>
      <w:r>
        <w:rPr>
          <w:i/>
        </w:rPr>
        <w:t xml:space="preserve">in RQ2 (feature backlog synthesis) an agent tasked with reading 500 gig worker reviews and returning a prioritised list of interface complaints might report that 27 per cent of workers complained about a surge pricing forecast tool that does not exist on the platform under study. The tool was hallucinated. If the researcher passes the backlog to a product </w:t>
      </w:r>
      <w:r>
        <w:rPr>
          <w:i/>
        </w:rPr>
        <w:lastRenderedPageBreak/>
        <w:t>team without spot checking against the raw reviews, a phantom feature enters the roadmap.</w:t>
      </w:r>
    </w:p>
    <w:p w14:paraId="044EDDC9" w14:textId="77777777" w:rsidR="0097271B" w:rsidRDefault="00C46B94">
      <w:pPr>
        <w:spacing w:before="80" w:after="80"/>
        <w:ind w:left="454" w:hanging="227"/>
      </w:pPr>
      <w:r>
        <w:rPr>
          <w:b/>
        </w:rPr>
        <w:t xml:space="preserve">•  Prompt sensitivity.  </w:t>
      </w:r>
      <w:r>
        <w:t xml:space="preserve">The same task yields different outputs when prompt phrasing shifts by a few words. </w:t>
      </w:r>
      <w:r>
        <w:rPr>
          <w:i/>
        </w:rPr>
        <w:t xml:space="preserve">For example: </w:t>
      </w:r>
      <w:r>
        <w:rPr>
          <w:i/>
        </w:rPr>
        <w:t>in RQ3 (regulatory stress testing) two prompts convey the same policy: (a) add a 14 day cooling off period before deactivation, and (b) workers cannot be permanently deactivated for at least 14 days after their first violation. A cohort of simulated Indian drivers might respond to (a) with mild support and to (b) with strong support because the word permanently activates loss aversion. Without a prompt stability study the policy recommendation would shift on wording rather than on substance.</w:t>
      </w:r>
    </w:p>
    <w:p w14:paraId="609F1F77" w14:textId="77777777" w:rsidR="0097271B" w:rsidRDefault="00C46B94">
      <w:pPr>
        <w:spacing w:before="80" w:after="80"/>
        <w:ind w:left="454" w:hanging="227"/>
      </w:pPr>
      <w:r>
        <w:rPr>
          <w:b/>
        </w:rPr>
        <w:t xml:space="preserve">•  Model version churn.  </w:t>
      </w:r>
      <w:r>
        <w:t xml:space="preserve">Foundation models are retrained and updated frequently, so results generated in year one of a doctoral programme may not replicate in year three. </w:t>
      </w:r>
      <w:r>
        <w:rPr>
          <w:i/>
        </w:rPr>
        <w:t xml:space="preserve">For example: </w:t>
      </w:r>
      <w:r>
        <w:rPr>
          <w:i/>
        </w:rPr>
        <w:t>Argyle et al. (2023) reported results using GPT 3. A researcher who reruns the same prompts on GPT 4 in 2024 finds different demographic to attitude mappings, because GPT 4 has different training data, alignment, and refusal patterns. A doctoral programme spanning 2026 to 2029 will pass through at least two model generations. Findings reported in an early chapter may fail to replicate on the current model by the viva.</w:t>
      </w:r>
    </w:p>
    <w:p w14:paraId="538701F4" w14:textId="77777777" w:rsidR="0097271B" w:rsidRDefault="00C46B94">
      <w:pPr>
        <w:spacing w:before="80" w:after="80"/>
        <w:ind w:left="454" w:hanging="227"/>
      </w:pPr>
      <w:r>
        <w:rPr>
          <w:b/>
        </w:rPr>
        <w:t xml:space="preserve">•  Cultural and linguistic bias.  </w:t>
      </w:r>
      <w:r>
        <w:t xml:space="preserve">Models are trained on Western English dominated corpora and reproduce those cultural priors. </w:t>
      </w:r>
      <w:r>
        <w:rPr>
          <w:i/>
        </w:rPr>
        <w:t xml:space="preserve">For example: </w:t>
      </w:r>
      <w:r>
        <w:rPr>
          <w:i/>
        </w:rPr>
        <w:t>a persona prompt You are a 32 year old Uber driver in Mumbai with three years of experience produced by a Western default model reports work concerns dominated by fuel prices and app rating anxiety. The same prompt run against a lightweight fine tune on Indian ride hailing forum posts adds surge withdrawal, roadside police interactions, and monthly EMI on the vehicle. Without local calibration the Western default hides the constraints that most shape Indian driver behaviour.</w:t>
      </w:r>
    </w:p>
    <w:p w14:paraId="7D62D2CA" w14:textId="77777777" w:rsidR="0097271B" w:rsidRDefault="00C46B94">
      <w:pPr>
        <w:spacing w:before="80" w:after="80"/>
        <w:ind w:left="454" w:hanging="227"/>
      </w:pPr>
      <w:r>
        <w:rPr>
          <w:b/>
        </w:rPr>
        <w:t xml:space="preserve">•  Compute cost and access equity.  </w:t>
      </w:r>
      <w:r>
        <w:t xml:space="preserve">Running large agentic simulations is expensive on commercial APIs and unevenly distributed across research communities. </w:t>
      </w:r>
      <w:r>
        <w:rPr>
          <w:i/>
        </w:rPr>
        <w:t xml:space="preserve">For example: </w:t>
      </w:r>
      <w:r>
        <w:rPr>
          <w:i/>
        </w:rPr>
        <w:t xml:space="preserve">a single Park et al. (2023) style simulation of 25 gig worker agents interacting for 30 simulated days at 100 messages per agent per day is 75,000 LLM calls per run. At current commercial rates that </w:t>
      </w:r>
      <w:r>
        <w:rPr>
          <w:i/>
        </w:rPr>
        <w:lastRenderedPageBreak/>
        <w:t>is a per run cost of the order of USD 500 to 2,000 depending on model choice. Testing five candidate algorithmic management redesigns with 10 runs each for statistical stability puts the project cost at USD 25,000 to 100,000, out of reach for an unfunded DBA candidate but within a modest departmental grant.</w:t>
      </w:r>
    </w:p>
    <w:p w14:paraId="533D97D4" w14:textId="77777777" w:rsidR="0097271B" w:rsidRDefault="00C46B94">
      <w:pPr>
        <w:jc w:val="both"/>
      </w:pPr>
      <w:r>
        <w:t>These limitations are cumulative rather than additive. Hallucination in a tool use agent that is prompt sensitive, running on a model version that changes mid study, on a Western trained model, at compute costs that limit iteration, produces a set of confounds that must be managed at the study protocol level rather than in post hoc analysis.</w:t>
      </w:r>
    </w:p>
    <w:p w14:paraId="7CF67102" w14:textId="77777777" w:rsidR="0097271B" w:rsidRDefault="00C46B94">
      <w:pPr>
        <w:pStyle w:val="Heading3"/>
      </w:pPr>
      <w:r>
        <w:rPr>
          <w:rFonts w:ascii="Arial" w:hAnsi="Arial"/>
        </w:rPr>
        <w:t>5.6.3 New research possibilities opened by the four method families</w:t>
      </w:r>
    </w:p>
    <w:p w14:paraId="155A677E" w14:textId="77777777" w:rsidR="0097271B" w:rsidRDefault="00C46B94">
      <w:pPr>
        <w:jc w:val="both"/>
      </w:pPr>
      <w:r>
        <w:t>The combination of the four families opens research possibilities that did not exist before 2023 and that the pilot instrument in Section 6 is designed to seed. Five stand out for the Indian gig worker research programme this thesis frames. Each is presented with a worked example that shows the concrete pipeline the researcher would build.</w:t>
      </w:r>
    </w:p>
    <w:p w14:paraId="484119BA" w14:textId="77777777" w:rsidR="0097271B" w:rsidRDefault="00C46B94">
      <w:pPr>
        <w:spacing w:before="80" w:after="80"/>
        <w:ind w:left="454" w:hanging="227"/>
      </w:pPr>
      <w:r>
        <w:rPr>
          <w:b/>
        </w:rPr>
        <w:t xml:space="preserve">•  Continuous cross cultural replication.  </w:t>
      </w:r>
      <w:r>
        <w:t xml:space="preserve">The same construct battery can be run on digital twins built from different cultures without recruiting new samples for each culture. </w:t>
      </w:r>
      <w:r>
        <w:rPr>
          <w:i/>
        </w:rPr>
        <w:t xml:space="preserve">For example: </w:t>
      </w:r>
      <w:r>
        <w:rPr>
          <w:i/>
        </w:rPr>
        <w:t>build a 500 twin panel from Indian ride hailing drivers using the pilot in Section 6.2.4 as seed, and a 500 twin panel from US ride hailing drivers using the Toubia et al. (2025) Twin 2K 500 dataset as seed. Administer the Perceived Algorithmic Fairness scale (Jabagi et al., 2025) to both panels via prompt. If the Indian panel mean on the item Do you consider that the app's matching procedures are free of bias reads 2.1 out of 7, while the US panel mean reads 3.4 out of 7, the fairness construct does not tr</w:t>
      </w:r>
      <w:r>
        <w:rPr>
          <w:i/>
        </w:rPr>
        <w:t>avel between markets. A platform can no longer assume that a US calibrated redesign will land in India. The test takes hours, not a career.</w:t>
      </w:r>
    </w:p>
    <w:p w14:paraId="0484BCF4" w14:textId="77777777" w:rsidR="0097271B" w:rsidRDefault="00C46B94">
      <w:pPr>
        <w:spacing w:before="80" w:after="80"/>
        <w:ind w:left="454" w:hanging="227"/>
      </w:pPr>
      <w:r>
        <w:rPr>
          <w:b/>
        </w:rPr>
        <w:t xml:space="preserve">•  Adaptive intervention design.  </w:t>
      </w:r>
      <w:r>
        <w:t xml:space="preserve">Multi agent simulations can be extended so that the intervention itself adapts during the simulation based on agent responses. </w:t>
      </w:r>
      <w:r>
        <w:rPr>
          <w:i/>
        </w:rPr>
        <w:t xml:space="preserve">For example: </w:t>
      </w:r>
      <w:r>
        <w:rPr>
          <w:i/>
        </w:rPr>
        <w:t xml:space="preserve">simulate a fleet of 50 driver agents on an Indian ride hailing platform. Feed them a candidate transparency intervention: the </w:t>
      </w:r>
      <w:r>
        <w:rPr>
          <w:i/>
        </w:rPr>
        <w:lastRenderedPageBreak/>
        <w:t xml:space="preserve">app now shows the estimated fare before you accept. Let the multi agent system run for 60 simulated days. If drivers cluster on high fare rides and abandon low fare rides in a way that produces a supply gap in low income neighbourhoods, adapt the intervention: the app shows the fare only after a random 20 second delay. Continue the search until the intervention converges on a design </w:t>
      </w:r>
      <w:r>
        <w:rPr>
          <w:i/>
        </w:rPr>
        <w:t>that reduces algoactivism (Section 2.1.5 scale) without collapsing coverage. The trajectory search is the new research object.</w:t>
      </w:r>
    </w:p>
    <w:p w14:paraId="7351A1F2" w14:textId="77777777" w:rsidR="0097271B" w:rsidRDefault="00C46B94">
      <w:pPr>
        <w:spacing w:before="80" w:after="80"/>
        <w:ind w:left="454" w:hanging="227"/>
      </w:pPr>
      <w:r>
        <w:rPr>
          <w:b/>
        </w:rPr>
        <w:t xml:space="preserve">•  Longitudinal research without attrition.  </w:t>
      </w:r>
      <w:r>
        <w:t xml:space="preserve">Digital twins persist across research waves, so a worker who leaves the platform can still be queried later if their twin was built earlier. </w:t>
      </w:r>
      <w:r>
        <w:rPr>
          <w:i/>
        </w:rPr>
        <w:t xml:space="preserve">For example: </w:t>
      </w:r>
      <w:r>
        <w:rPr>
          <w:i/>
        </w:rPr>
        <w:t>a study starts with 100 gig workers in month one and builds a digital twin of each. By month twelve, 40 workers have left the platform. A traditional panel study reports on the 60 who remained, with the standard attrition warning. A twin based study queries all 100 twins at month twelve with the turnover intention items (Section 4.3), reads the twin responses of the 40 who left, and compares the predicted twelfth month intention against their actual departure. Attrition becomes a signal to model, not a bias</w:t>
      </w:r>
      <w:r>
        <w:rPr>
          <w:i/>
        </w:rPr>
        <w:t xml:space="preserve"> to warn about.</w:t>
      </w:r>
    </w:p>
    <w:p w14:paraId="1DBEC1CB" w14:textId="77777777" w:rsidR="0097271B" w:rsidRDefault="00C46B94">
      <w:pPr>
        <w:spacing w:before="80" w:after="80"/>
        <w:ind w:left="454" w:hanging="227"/>
      </w:pPr>
      <w:r>
        <w:rPr>
          <w:b/>
        </w:rPr>
        <w:t xml:space="preserve">•  Real time worker voice monitoring.  </w:t>
      </w:r>
      <w:r>
        <w:t xml:space="preserve">Generative AI content analysis can process worker reviews, forum posts, and app store comments as they appear. </w:t>
      </w:r>
      <w:r>
        <w:rPr>
          <w:i/>
        </w:rPr>
        <w:t xml:space="preserve">For example: </w:t>
      </w:r>
      <w:r>
        <w:rPr>
          <w:i/>
        </w:rPr>
        <w:t xml:space="preserve">a state labour regulator sets up a generative AI agent that reads new food delivery worker posts from Reddit, X (formerly Twitter), Glassdoor, and Google Play Store each week. The agent codes each post against the algoactivism scale (de Jong, Weber and Remus, 2025). If the algoactivism intensity index rises 30 per cent week on week, the regulator receives an alert with the top three worker complaint themes and the platforms they name. Regulation can now react to a rising complaint pattern inside a two week </w:t>
      </w:r>
      <w:r>
        <w:rPr>
          <w:i/>
        </w:rPr>
        <w:t>window rather than after a delivery workers' strike hits the news.</w:t>
      </w:r>
    </w:p>
    <w:p w14:paraId="3A1D4C68" w14:textId="77777777" w:rsidR="0097271B" w:rsidRDefault="00C46B94">
      <w:pPr>
        <w:spacing w:before="80" w:after="80"/>
        <w:ind w:left="454" w:hanging="227"/>
      </w:pPr>
      <w:r>
        <w:rPr>
          <w:b/>
        </w:rPr>
        <w:t xml:space="preserve">•  Democratised research infrastructure.  </w:t>
      </w:r>
      <w:r>
        <w:t xml:space="preserve">Open weight models and multi agent frameworks let a research team of one attempt work that previously required a lab of ten. </w:t>
      </w:r>
      <w:r>
        <w:rPr>
          <w:i/>
        </w:rPr>
        <w:t xml:space="preserve">For example: </w:t>
      </w:r>
      <w:r>
        <w:rPr>
          <w:i/>
        </w:rPr>
        <w:t xml:space="preserve">a Bradford DBA candidate uses AutoGen (Wu et al., 2024) with an open weight Llama 3 style 70 billion parameter model on a rented H100 GPU cluster at around USD 40 per hour </w:t>
      </w:r>
      <w:r>
        <w:rPr>
          <w:i/>
        </w:rPr>
        <w:lastRenderedPageBreak/>
        <w:t>to run a 10 agent multi agent simulation of Ola drivers responding to a candidate compensation redesign. The full study takes three weeks and costs around USD 3,000, and produces publishable multi agent findings. A decade ago the same study would have required an economics PhD lab of five researchers and USD 500,000 of grant support.</w:t>
      </w:r>
    </w:p>
    <w:p w14:paraId="11090C73" w14:textId="77777777" w:rsidR="0097271B" w:rsidRDefault="00C46B94">
      <w:pPr>
        <w:jc w:val="both"/>
      </w:pPr>
      <w:r>
        <w:t>These new possibilities are inputs to the doctoral programme this thesis frames rather than commitments the thesis makes. What the composite survey in Section 6 supplies is the construct backbone that all five possibilities need before they can be tested on Indian gig worker data.</w:t>
      </w:r>
    </w:p>
    <w:p w14:paraId="232F4303" w14:textId="77777777" w:rsidR="0097271B" w:rsidRDefault="00C46B94">
      <w:pPr>
        <w:jc w:val="both"/>
      </w:pPr>
      <w:r>
        <w:t>The four method families in Section 5 map cleanly onto the three research questions in Section 1.3. RQ1 platform redesign uses multi agent orchestration (5.3) seeded by digital twins of gig workers (5.4). RQ2 feature backlog synthesis uses generative AI content analysis (5.1) applied to worker voice signals. RQ3 regulatory stress testing uses agentic orchestration (5.3) on statute text and cohort profiles. The composite survey instrument in Section 6 supplies the construct backbone that each of the four met</w:t>
      </w:r>
      <w:r>
        <w:t>hod families needs, and the pilot deployment protocol in Section 6.2 supplies the first Indian gig worker data on which the methods can be calibrated.</w:t>
      </w:r>
    </w:p>
    <w:p w14:paraId="672A9C82" w14:textId="77777777" w:rsidR="0097271B" w:rsidRDefault="00C46B94">
      <w:r>
        <w:br w:type="page"/>
      </w:r>
    </w:p>
    <w:p w14:paraId="68C31FEF" w14:textId="77777777" w:rsidR="0097271B" w:rsidRDefault="00C46B94">
      <w:pPr>
        <w:pStyle w:val="Heading1"/>
      </w:pPr>
      <w:r>
        <w:rPr>
          <w:rFonts w:ascii="Arial" w:hAnsi="Arial"/>
        </w:rPr>
        <w:lastRenderedPageBreak/>
        <w:t>6. Proposed survey instrument</w:t>
      </w:r>
    </w:p>
    <w:p w14:paraId="20AD0591" w14:textId="77777777" w:rsidR="0097271B" w:rsidRDefault="00C46B94">
      <w:pPr>
        <w:jc w:val="both"/>
      </w:pPr>
      <w:r>
        <w:t>Section 6 has two parts. Section 6.1 sets out the composite instrument, six construct blocks compiled from the validated scales identified in Sections 2 through 4. Section 6.2 sets out the deployment protocol for the stage one pilot, including the participant facing research scope and objectives, the eligibility screen, and the five category sampling frame.</w:t>
      </w:r>
    </w:p>
    <w:p w14:paraId="28BB5B2D" w14:textId="77777777" w:rsidR="0097271B" w:rsidRDefault="00C46B94">
      <w:pPr>
        <w:pStyle w:val="Heading2"/>
      </w:pPr>
      <w:r>
        <w:rPr>
          <w:rFonts w:ascii="Arial" w:hAnsi="Arial"/>
        </w:rPr>
        <w:t>6.1 Composite survey instrument</w:t>
      </w:r>
    </w:p>
    <w:p w14:paraId="36A59C79" w14:textId="77777777" w:rsidR="0097271B" w:rsidRDefault="00C46B94">
      <w:pPr>
        <w:jc w:val="both"/>
      </w:pPr>
      <w:r>
        <w:t>The composite compiles the validated scales into six construct blocks. Every item is quoted verbatim from its source, so wording should be adjusted only for platform specific substitutions (for example replacing the app or the platform with Uber, Ola, or Swiggy as the study demands). Rating formats follow the original scale author. Before fielding, secure permissions or licences from the original scale publishers where required, pilot test items for translation into Hindi, Marathi, or other target languages</w:t>
      </w:r>
      <w:r>
        <w:t>, and run confirmatory factor analysis given the scales were validated on different platform populations.</w:t>
      </w:r>
    </w:p>
    <w:p w14:paraId="0A70A09B" w14:textId="77777777" w:rsidR="0097271B" w:rsidRDefault="00C46B94">
      <w:pPr>
        <w:spacing w:before="200" w:after="80"/>
      </w:pPr>
      <w:r>
        <w:rPr>
          <w:b/>
          <w:sz w:val="22"/>
        </w:rPr>
        <w:t>Table 6.1  Composite survey instrument, construct blocks and validated scales.</w:t>
      </w:r>
    </w:p>
    <w:tbl>
      <w:tblPr>
        <w:tblW w:w="0" w:type="auto"/>
        <w:jc w:val="center"/>
        <w:tblLayout w:type="fixed"/>
        <w:tblLook w:val="04A0" w:firstRow="1" w:lastRow="0" w:firstColumn="1" w:lastColumn="0" w:noHBand="0" w:noVBand="1"/>
      </w:tblPr>
      <w:tblGrid>
        <w:gridCol w:w="2268"/>
        <w:gridCol w:w="3118"/>
        <w:gridCol w:w="1984"/>
        <w:gridCol w:w="1417"/>
      </w:tblGrid>
      <w:tr w:rsidR="0097271B" w14:paraId="753005D8" w14:textId="77777777">
        <w:trPr>
          <w:jc w:val="center"/>
        </w:trPr>
        <w:tc>
          <w:tcPr>
            <w:tcW w:w="2268" w:type="dxa"/>
            <w:shd w:val="clear" w:color="auto" w:fill="E7E6E6"/>
          </w:tcPr>
          <w:p w14:paraId="1DCE1B33" w14:textId="77777777" w:rsidR="0097271B" w:rsidRDefault="00C46B94">
            <w:pPr>
              <w:spacing w:before="40" w:after="40" w:line="276" w:lineRule="auto"/>
            </w:pPr>
            <w:r>
              <w:rPr>
                <w:b/>
                <w:sz w:val="18"/>
              </w:rPr>
              <w:t>Construct block</w:t>
            </w:r>
          </w:p>
        </w:tc>
        <w:tc>
          <w:tcPr>
            <w:tcW w:w="3118" w:type="dxa"/>
            <w:shd w:val="clear" w:color="auto" w:fill="E7E6E6"/>
          </w:tcPr>
          <w:p w14:paraId="06F6328C" w14:textId="77777777" w:rsidR="0097271B" w:rsidRDefault="00C46B94">
            <w:pPr>
              <w:spacing w:before="40" w:after="40" w:line="276" w:lineRule="auto"/>
            </w:pPr>
            <w:r>
              <w:rPr>
                <w:b/>
                <w:sz w:val="18"/>
              </w:rPr>
              <w:t>Validated scale (source)</w:t>
            </w:r>
          </w:p>
        </w:tc>
        <w:tc>
          <w:tcPr>
            <w:tcW w:w="1984" w:type="dxa"/>
            <w:shd w:val="clear" w:color="auto" w:fill="E7E6E6"/>
          </w:tcPr>
          <w:p w14:paraId="2DFDCF1F" w14:textId="77777777" w:rsidR="0097271B" w:rsidRDefault="00C46B94">
            <w:pPr>
              <w:spacing w:before="40" w:after="40" w:line="276" w:lineRule="auto"/>
            </w:pPr>
            <w:r>
              <w:rPr>
                <w:b/>
                <w:sz w:val="18"/>
              </w:rPr>
              <w:t>Rating format</w:t>
            </w:r>
          </w:p>
        </w:tc>
        <w:tc>
          <w:tcPr>
            <w:tcW w:w="1417" w:type="dxa"/>
            <w:shd w:val="clear" w:color="auto" w:fill="E7E6E6"/>
          </w:tcPr>
          <w:p w14:paraId="7CFF9CD1" w14:textId="77777777" w:rsidR="0097271B" w:rsidRDefault="00C46B94">
            <w:pPr>
              <w:spacing w:before="40" w:after="40" w:line="276" w:lineRule="auto"/>
            </w:pPr>
            <w:r>
              <w:rPr>
                <w:b/>
                <w:sz w:val="18"/>
              </w:rPr>
              <w:t>Items</w:t>
            </w:r>
          </w:p>
        </w:tc>
      </w:tr>
      <w:tr w:rsidR="0097271B" w14:paraId="668B5FDC" w14:textId="77777777">
        <w:trPr>
          <w:jc w:val="center"/>
        </w:trPr>
        <w:tc>
          <w:tcPr>
            <w:tcW w:w="2268" w:type="dxa"/>
          </w:tcPr>
          <w:p w14:paraId="4E5D1C7D" w14:textId="77777777" w:rsidR="0097271B" w:rsidRDefault="00C46B94">
            <w:pPr>
              <w:spacing w:before="40" w:after="40" w:line="276" w:lineRule="auto"/>
            </w:pPr>
            <w:r>
              <w:rPr>
                <w:sz w:val="16"/>
              </w:rPr>
              <w:t>1. Exposure to algorithmic management</w:t>
            </w:r>
          </w:p>
        </w:tc>
        <w:tc>
          <w:tcPr>
            <w:tcW w:w="3118" w:type="dxa"/>
          </w:tcPr>
          <w:p w14:paraId="651ACC56" w14:textId="77777777" w:rsidR="0097271B" w:rsidRDefault="00C46B94">
            <w:pPr>
              <w:spacing w:before="40" w:after="40" w:line="276" w:lineRule="auto"/>
            </w:pPr>
            <w:r>
              <w:rPr>
                <w:sz w:val="16"/>
              </w:rPr>
              <w:t>Algorithmic Management Questionnaire, Parent Rocheleau et al. (2024)</w:t>
            </w:r>
          </w:p>
        </w:tc>
        <w:tc>
          <w:tcPr>
            <w:tcW w:w="1984" w:type="dxa"/>
          </w:tcPr>
          <w:p w14:paraId="501DF2C8" w14:textId="77777777" w:rsidR="0097271B" w:rsidRDefault="00C46B94">
            <w:pPr>
              <w:spacing w:before="40" w:after="40" w:line="276" w:lineRule="auto"/>
            </w:pPr>
            <w:r>
              <w:rPr>
                <w:sz w:val="16"/>
              </w:rPr>
              <w:t>7 point Likert</w:t>
            </w:r>
          </w:p>
        </w:tc>
        <w:tc>
          <w:tcPr>
            <w:tcW w:w="1417" w:type="dxa"/>
          </w:tcPr>
          <w:p w14:paraId="27F7BFF2" w14:textId="77777777" w:rsidR="0097271B" w:rsidRDefault="00C46B94">
            <w:pPr>
              <w:spacing w:before="40" w:after="40" w:line="276" w:lineRule="auto"/>
            </w:pPr>
            <w:r>
              <w:rPr>
                <w:sz w:val="16"/>
              </w:rPr>
              <w:t>20</w:t>
            </w:r>
          </w:p>
        </w:tc>
      </w:tr>
      <w:tr w:rsidR="0097271B" w14:paraId="1BE127C1" w14:textId="77777777">
        <w:trPr>
          <w:jc w:val="center"/>
        </w:trPr>
        <w:tc>
          <w:tcPr>
            <w:tcW w:w="2268" w:type="dxa"/>
          </w:tcPr>
          <w:p w14:paraId="0BE95690" w14:textId="77777777" w:rsidR="0097271B" w:rsidRDefault="00C46B94">
            <w:pPr>
              <w:spacing w:before="40" w:after="40" w:line="276" w:lineRule="auto"/>
            </w:pPr>
            <w:r>
              <w:rPr>
                <w:sz w:val="16"/>
              </w:rPr>
              <w:t>2. Perceived algorithmic fairness</w:t>
            </w:r>
          </w:p>
        </w:tc>
        <w:tc>
          <w:tcPr>
            <w:tcW w:w="3118" w:type="dxa"/>
          </w:tcPr>
          <w:p w14:paraId="11AA8B69" w14:textId="77777777" w:rsidR="0097271B" w:rsidRDefault="00C46B94">
            <w:pPr>
              <w:spacing w:before="40" w:after="40" w:line="276" w:lineRule="auto"/>
            </w:pPr>
            <w:r>
              <w:rPr>
                <w:sz w:val="16"/>
              </w:rPr>
              <w:t>Jabagi et al. (2025), adapting Colquitt (2001)</w:t>
            </w:r>
          </w:p>
        </w:tc>
        <w:tc>
          <w:tcPr>
            <w:tcW w:w="1984" w:type="dxa"/>
          </w:tcPr>
          <w:p w14:paraId="56B2FE5B" w14:textId="77777777" w:rsidR="0097271B" w:rsidRDefault="00C46B94">
            <w:pPr>
              <w:spacing w:before="40" w:after="40" w:line="276" w:lineRule="auto"/>
            </w:pPr>
            <w:r>
              <w:rPr>
                <w:sz w:val="16"/>
              </w:rPr>
              <w:t>7 point Likert</w:t>
            </w:r>
          </w:p>
        </w:tc>
        <w:tc>
          <w:tcPr>
            <w:tcW w:w="1417" w:type="dxa"/>
          </w:tcPr>
          <w:p w14:paraId="2BD4C047" w14:textId="77777777" w:rsidR="0097271B" w:rsidRDefault="00C46B94">
            <w:pPr>
              <w:spacing w:before="40" w:after="40" w:line="276" w:lineRule="auto"/>
            </w:pPr>
            <w:r>
              <w:rPr>
                <w:sz w:val="16"/>
              </w:rPr>
              <w:t>14</w:t>
            </w:r>
          </w:p>
        </w:tc>
      </w:tr>
      <w:tr w:rsidR="0097271B" w14:paraId="079CAB61" w14:textId="77777777">
        <w:trPr>
          <w:jc w:val="center"/>
        </w:trPr>
        <w:tc>
          <w:tcPr>
            <w:tcW w:w="2268" w:type="dxa"/>
          </w:tcPr>
          <w:p w14:paraId="27BEE74A" w14:textId="77777777" w:rsidR="0097271B" w:rsidRDefault="00C46B94">
            <w:pPr>
              <w:spacing w:before="40" w:after="40" w:line="276" w:lineRule="auto"/>
            </w:pPr>
            <w:r>
              <w:rPr>
                <w:sz w:val="16"/>
              </w:rPr>
              <w:t>3. Perceived algorithmic transparency</w:t>
            </w:r>
          </w:p>
        </w:tc>
        <w:tc>
          <w:tcPr>
            <w:tcW w:w="3118" w:type="dxa"/>
          </w:tcPr>
          <w:p w14:paraId="61BBC2FE" w14:textId="77777777" w:rsidR="0097271B" w:rsidRDefault="00C46B94">
            <w:pPr>
              <w:spacing w:before="40" w:after="40" w:line="276" w:lineRule="auto"/>
            </w:pPr>
            <w:r>
              <w:rPr>
                <w:sz w:val="16"/>
              </w:rPr>
              <w:t>Hoddinghaus, Sondern and Hertel (2021), gig adaptation 2024</w:t>
            </w:r>
          </w:p>
        </w:tc>
        <w:tc>
          <w:tcPr>
            <w:tcW w:w="1984" w:type="dxa"/>
          </w:tcPr>
          <w:p w14:paraId="7B34848E" w14:textId="77777777" w:rsidR="0097271B" w:rsidRDefault="00C46B94">
            <w:pPr>
              <w:spacing w:before="40" w:after="40" w:line="276" w:lineRule="auto"/>
            </w:pPr>
            <w:r>
              <w:rPr>
                <w:sz w:val="16"/>
              </w:rPr>
              <w:t>5 point Likert</w:t>
            </w:r>
          </w:p>
        </w:tc>
        <w:tc>
          <w:tcPr>
            <w:tcW w:w="1417" w:type="dxa"/>
          </w:tcPr>
          <w:p w14:paraId="28CE2636" w14:textId="77777777" w:rsidR="0097271B" w:rsidRDefault="00C46B94">
            <w:pPr>
              <w:spacing w:before="40" w:after="40" w:line="276" w:lineRule="auto"/>
            </w:pPr>
            <w:r>
              <w:rPr>
                <w:sz w:val="16"/>
              </w:rPr>
              <w:t>3</w:t>
            </w:r>
          </w:p>
        </w:tc>
      </w:tr>
      <w:tr w:rsidR="0097271B" w14:paraId="118B1566" w14:textId="77777777">
        <w:trPr>
          <w:jc w:val="center"/>
        </w:trPr>
        <w:tc>
          <w:tcPr>
            <w:tcW w:w="2268" w:type="dxa"/>
          </w:tcPr>
          <w:p w14:paraId="20675FD6" w14:textId="77777777" w:rsidR="0097271B" w:rsidRDefault="00C46B94">
            <w:pPr>
              <w:spacing w:before="40" w:after="40" w:line="276" w:lineRule="auto"/>
            </w:pPr>
            <w:r>
              <w:rPr>
                <w:sz w:val="16"/>
              </w:rPr>
              <w:t>4. Perceived Algorithmic Control</w:t>
            </w:r>
          </w:p>
        </w:tc>
        <w:tc>
          <w:tcPr>
            <w:tcW w:w="3118" w:type="dxa"/>
          </w:tcPr>
          <w:p w14:paraId="38D4660A" w14:textId="77777777" w:rsidR="0097271B" w:rsidRDefault="00C46B94">
            <w:pPr>
              <w:spacing w:before="40" w:after="40" w:line="276" w:lineRule="auto"/>
            </w:pPr>
            <w:r>
              <w:rPr>
                <w:sz w:val="16"/>
              </w:rPr>
              <w:t>Pei et al. (2021), replicated 2024</w:t>
            </w:r>
          </w:p>
        </w:tc>
        <w:tc>
          <w:tcPr>
            <w:tcW w:w="1984" w:type="dxa"/>
          </w:tcPr>
          <w:p w14:paraId="475B6A8B" w14:textId="77777777" w:rsidR="0097271B" w:rsidRDefault="00C46B94">
            <w:pPr>
              <w:spacing w:before="40" w:after="40" w:line="276" w:lineRule="auto"/>
            </w:pPr>
            <w:r>
              <w:rPr>
                <w:sz w:val="16"/>
              </w:rPr>
              <w:t>5 point Likert</w:t>
            </w:r>
          </w:p>
        </w:tc>
        <w:tc>
          <w:tcPr>
            <w:tcW w:w="1417" w:type="dxa"/>
          </w:tcPr>
          <w:p w14:paraId="19133954" w14:textId="77777777" w:rsidR="0097271B" w:rsidRDefault="00C46B94">
            <w:pPr>
              <w:spacing w:before="40" w:after="40" w:line="276" w:lineRule="auto"/>
            </w:pPr>
            <w:r>
              <w:rPr>
                <w:sz w:val="16"/>
              </w:rPr>
              <w:t>11</w:t>
            </w:r>
          </w:p>
        </w:tc>
      </w:tr>
      <w:tr w:rsidR="0097271B" w14:paraId="0C60B32F" w14:textId="77777777">
        <w:trPr>
          <w:jc w:val="center"/>
        </w:trPr>
        <w:tc>
          <w:tcPr>
            <w:tcW w:w="2268" w:type="dxa"/>
          </w:tcPr>
          <w:p w14:paraId="1FC0A147" w14:textId="77777777" w:rsidR="0097271B" w:rsidRDefault="00C46B94">
            <w:pPr>
              <w:spacing w:before="40" w:after="40" w:line="276" w:lineRule="auto"/>
            </w:pPr>
            <w:r>
              <w:rPr>
                <w:sz w:val="16"/>
              </w:rPr>
              <w:t>5. Voice, worker resistance (algoactivism)</w:t>
            </w:r>
          </w:p>
        </w:tc>
        <w:tc>
          <w:tcPr>
            <w:tcW w:w="3118" w:type="dxa"/>
          </w:tcPr>
          <w:p w14:paraId="3BF7F59D" w14:textId="77777777" w:rsidR="0097271B" w:rsidRDefault="00C46B94">
            <w:pPr>
              <w:spacing w:before="40" w:after="40" w:line="276" w:lineRule="auto"/>
            </w:pPr>
            <w:r>
              <w:rPr>
                <w:sz w:val="16"/>
              </w:rPr>
              <w:t>de Jong, Weber and Remus (2025)</w:t>
            </w:r>
          </w:p>
        </w:tc>
        <w:tc>
          <w:tcPr>
            <w:tcW w:w="1984" w:type="dxa"/>
          </w:tcPr>
          <w:p w14:paraId="32965330" w14:textId="77777777" w:rsidR="0097271B" w:rsidRDefault="00C46B94">
            <w:pPr>
              <w:spacing w:before="40" w:after="40" w:line="276" w:lineRule="auto"/>
            </w:pPr>
            <w:r>
              <w:rPr>
                <w:sz w:val="16"/>
              </w:rPr>
              <w:t>Likert</w:t>
            </w:r>
          </w:p>
        </w:tc>
        <w:tc>
          <w:tcPr>
            <w:tcW w:w="1417" w:type="dxa"/>
          </w:tcPr>
          <w:p w14:paraId="4C023965" w14:textId="77777777" w:rsidR="0097271B" w:rsidRDefault="00C46B94">
            <w:pPr>
              <w:spacing w:before="40" w:after="40" w:line="276" w:lineRule="auto"/>
            </w:pPr>
            <w:r>
              <w:rPr>
                <w:sz w:val="16"/>
              </w:rPr>
              <w:t>15</w:t>
            </w:r>
          </w:p>
        </w:tc>
      </w:tr>
      <w:tr w:rsidR="0097271B" w14:paraId="2EC059BF" w14:textId="77777777">
        <w:trPr>
          <w:jc w:val="center"/>
        </w:trPr>
        <w:tc>
          <w:tcPr>
            <w:tcW w:w="2268" w:type="dxa"/>
          </w:tcPr>
          <w:p w14:paraId="74C6BD3B" w14:textId="77777777" w:rsidR="0097271B" w:rsidRDefault="00C46B94">
            <w:pPr>
              <w:spacing w:before="40" w:after="40" w:line="276" w:lineRule="auto"/>
            </w:pPr>
            <w:r>
              <w:rPr>
                <w:sz w:val="16"/>
              </w:rPr>
              <w:t>6. Loyalty, continuance intention</w:t>
            </w:r>
          </w:p>
        </w:tc>
        <w:tc>
          <w:tcPr>
            <w:tcW w:w="3118" w:type="dxa"/>
          </w:tcPr>
          <w:p w14:paraId="07567241" w14:textId="77777777" w:rsidR="0097271B" w:rsidRDefault="00C46B94">
            <w:pPr>
              <w:spacing w:before="40" w:after="40" w:line="276" w:lineRule="auto"/>
            </w:pPr>
            <w:r>
              <w:rPr>
                <w:sz w:val="16"/>
              </w:rPr>
              <w:t>Qiao and Cheng (2023)</w:t>
            </w:r>
          </w:p>
        </w:tc>
        <w:tc>
          <w:tcPr>
            <w:tcW w:w="1984" w:type="dxa"/>
          </w:tcPr>
          <w:p w14:paraId="1A69D7CB" w14:textId="77777777" w:rsidR="0097271B" w:rsidRDefault="00C46B94">
            <w:pPr>
              <w:spacing w:before="40" w:after="40" w:line="276" w:lineRule="auto"/>
            </w:pPr>
            <w:r>
              <w:rPr>
                <w:sz w:val="16"/>
              </w:rPr>
              <w:t>5 point Likert</w:t>
            </w:r>
          </w:p>
        </w:tc>
        <w:tc>
          <w:tcPr>
            <w:tcW w:w="1417" w:type="dxa"/>
          </w:tcPr>
          <w:p w14:paraId="698858B7" w14:textId="77777777" w:rsidR="0097271B" w:rsidRDefault="00C46B94">
            <w:pPr>
              <w:spacing w:before="40" w:after="40" w:line="276" w:lineRule="auto"/>
            </w:pPr>
            <w:r>
              <w:rPr>
                <w:sz w:val="16"/>
              </w:rPr>
              <w:t>2 or more</w:t>
            </w:r>
          </w:p>
        </w:tc>
      </w:tr>
      <w:tr w:rsidR="0097271B" w14:paraId="030986AE" w14:textId="77777777">
        <w:trPr>
          <w:jc w:val="center"/>
        </w:trPr>
        <w:tc>
          <w:tcPr>
            <w:tcW w:w="2268" w:type="dxa"/>
          </w:tcPr>
          <w:p w14:paraId="243FB221" w14:textId="77777777" w:rsidR="0097271B" w:rsidRDefault="00C46B94">
            <w:pPr>
              <w:spacing w:before="40" w:after="40" w:line="276" w:lineRule="auto"/>
            </w:pPr>
            <w:r>
              <w:rPr>
                <w:sz w:val="16"/>
              </w:rPr>
              <w:t>Optional. Gameful experience</w:t>
            </w:r>
          </w:p>
        </w:tc>
        <w:tc>
          <w:tcPr>
            <w:tcW w:w="3118" w:type="dxa"/>
          </w:tcPr>
          <w:p w14:paraId="3AA1693D" w14:textId="77777777" w:rsidR="0097271B" w:rsidRDefault="00C46B94">
            <w:pPr>
              <w:spacing w:before="40" w:after="40" w:line="276" w:lineRule="auto"/>
            </w:pPr>
            <w:r>
              <w:rPr>
                <w:sz w:val="16"/>
              </w:rPr>
              <w:t>Eppmann, Bekk and Klein (2018), GAMEX, gig adaptation 2024</w:t>
            </w:r>
          </w:p>
        </w:tc>
        <w:tc>
          <w:tcPr>
            <w:tcW w:w="1984" w:type="dxa"/>
          </w:tcPr>
          <w:p w14:paraId="5D4F2D6A" w14:textId="77777777" w:rsidR="0097271B" w:rsidRDefault="00C46B94">
            <w:pPr>
              <w:spacing w:before="40" w:after="40" w:line="276" w:lineRule="auto"/>
            </w:pPr>
            <w:r>
              <w:rPr>
                <w:sz w:val="16"/>
              </w:rPr>
              <w:t>5 point Likert</w:t>
            </w:r>
          </w:p>
        </w:tc>
        <w:tc>
          <w:tcPr>
            <w:tcW w:w="1417" w:type="dxa"/>
          </w:tcPr>
          <w:p w14:paraId="418E16B2" w14:textId="77777777" w:rsidR="0097271B" w:rsidRDefault="00C46B94">
            <w:pPr>
              <w:spacing w:before="40" w:after="40" w:line="276" w:lineRule="auto"/>
            </w:pPr>
            <w:r>
              <w:rPr>
                <w:sz w:val="16"/>
              </w:rPr>
              <w:t>27</w:t>
            </w:r>
          </w:p>
        </w:tc>
      </w:tr>
      <w:tr w:rsidR="0097271B" w14:paraId="6D2EED39" w14:textId="77777777">
        <w:trPr>
          <w:jc w:val="center"/>
        </w:trPr>
        <w:tc>
          <w:tcPr>
            <w:tcW w:w="2268" w:type="dxa"/>
          </w:tcPr>
          <w:p w14:paraId="1F8076C9" w14:textId="77777777" w:rsidR="0097271B" w:rsidRDefault="00C46B94">
            <w:pPr>
              <w:spacing w:before="40" w:after="40" w:line="276" w:lineRule="auto"/>
            </w:pPr>
            <w:r>
              <w:rPr>
                <w:sz w:val="16"/>
              </w:rPr>
              <w:t>Control variable. Economic dependence</w:t>
            </w:r>
          </w:p>
        </w:tc>
        <w:tc>
          <w:tcPr>
            <w:tcW w:w="3118" w:type="dxa"/>
          </w:tcPr>
          <w:p w14:paraId="1E59D1FE" w14:textId="77777777" w:rsidR="0097271B" w:rsidRDefault="00C46B94">
            <w:pPr>
              <w:spacing w:before="40" w:after="40" w:line="276" w:lineRule="auto"/>
            </w:pPr>
            <w:r>
              <w:rPr>
                <w:sz w:val="16"/>
              </w:rPr>
              <w:t>Van Dam (2005) and Clark (2005) adaptation</w:t>
            </w:r>
          </w:p>
        </w:tc>
        <w:tc>
          <w:tcPr>
            <w:tcW w:w="1984" w:type="dxa"/>
          </w:tcPr>
          <w:p w14:paraId="76D9C700" w14:textId="77777777" w:rsidR="0097271B" w:rsidRDefault="00C46B94">
            <w:pPr>
              <w:spacing w:before="40" w:after="40" w:line="276" w:lineRule="auto"/>
            </w:pPr>
            <w:r>
              <w:rPr>
                <w:sz w:val="16"/>
              </w:rPr>
              <w:t>Likert</w:t>
            </w:r>
          </w:p>
        </w:tc>
        <w:tc>
          <w:tcPr>
            <w:tcW w:w="1417" w:type="dxa"/>
          </w:tcPr>
          <w:p w14:paraId="1BB44104" w14:textId="77777777" w:rsidR="0097271B" w:rsidRDefault="00C46B94">
            <w:pPr>
              <w:spacing w:before="40" w:after="40" w:line="276" w:lineRule="auto"/>
            </w:pPr>
            <w:r>
              <w:rPr>
                <w:sz w:val="16"/>
              </w:rPr>
              <w:t>7</w:t>
            </w:r>
          </w:p>
        </w:tc>
      </w:tr>
    </w:tbl>
    <w:p w14:paraId="3C4F9B71" w14:textId="77777777" w:rsidR="0097271B" w:rsidRDefault="00C46B94">
      <w:pPr>
        <w:spacing w:before="40" w:after="200"/>
      </w:pPr>
      <w:r>
        <w:rPr>
          <w:i/>
          <w:sz w:val="20"/>
        </w:rPr>
        <w:t>Source: compiled from the seven A star ranked focal papers and the nine subsequent empirical scale development or replication studies discussed in Sections 2 through 4. DOIs are provided in Section 2 for each source paper.</w:t>
      </w:r>
    </w:p>
    <w:p w14:paraId="550B2214" w14:textId="77777777" w:rsidR="0097271B" w:rsidRDefault="00C46B94">
      <w:pPr>
        <w:jc w:val="both"/>
      </w:pPr>
      <w:r>
        <w:t xml:space="preserve">Two blocks are excluded from the primary composite. The Wiener, Cram and Benlian (2023) gatekeeping and guiding items are omitted because only two </w:t>
      </w:r>
      <w:r>
        <w:lastRenderedPageBreak/>
        <w:t>verbatim items are publicly available. The Pei et al. (2021) Perceived Algorithmic Control scale covers the same construct territory with a full 11 item set. Two further scales are flagged as candidate additions: the Gig Platform Governance scale (Awasthy, Singh and Gupta, 2026) and the trust mediated continuance model (Mustafa and Mansour, 2026). Their item wording is not publicly disclosed and requires access to the original publication before fielding. Section 7 discusses the exclusions in full.</w:t>
      </w:r>
    </w:p>
    <w:p w14:paraId="272745EA" w14:textId="77777777" w:rsidR="0097271B" w:rsidRDefault="00C46B94">
      <w:pPr>
        <w:pStyle w:val="Heading2"/>
      </w:pPr>
      <w:r>
        <w:rPr>
          <w:rFonts w:ascii="Arial" w:hAnsi="Arial"/>
        </w:rPr>
        <w:t>6.2 Survey deployment</w:t>
      </w:r>
    </w:p>
    <w:p w14:paraId="28B1E405" w14:textId="77777777" w:rsidR="0097271B" w:rsidRDefault="00C46B94">
      <w:pPr>
        <w:jc w:val="both"/>
      </w:pPr>
      <w:r>
        <w:t>The composite instrument in Table 6.1 is designed for a two stage rollout. Stage one is a cognitive pilot of 25 gig workers stratified across five on demand platform categories, five workers per category, to test item clarity, translation quality, and completion time before a larger rollout. Stage two is a full sample for confirmatory factor analysis and downstream agentic AI persona construction, sized per the technique chosen for RQ1 through RQ3. Sections 5.2.1 to 5.2.3 set out the deployment protocol for</w:t>
      </w:r>
      <w:r>
        <w:t xml:space="preserve"> stage one.</w:t>
      </w:r>
    </w:p>
    <w:p w14:paraId="4B856EA1" w14:textId="77777777" w:rsidR="0097271B" w:rsidRDefault="00C46B94">
      <w:pPr>
        <w:pStyle w:val="Heading3"/>
      </w:pPr>
      <w:r>
        <w:rPr>
          <w:rFonts w:ascii="Arial" w:hAnsi="Arial"/>
        </w:rPr>
        <w:t>6.2.1 Section I. Research scope and objectives</w:t>
      </w:r>
    </w:p>
    <w:p w14:paraId="58F1F605" w14:textId="77777777" w:rsidR="0097271B" w:rsidRDefault="00C46B94">
      <w:pPr>
        <w:jc w:val="both"/>
      </w:pPr>
      <w:r>
        <w:t>The participant information sheet that fronts the questionnaire opens with a short scope and objectives statement written for a lay reader. The suggested wording is reproduced below and should be translated into Hindi and Marathi for the pilot.</w:t>
      </w:r>
    </w:p>
    <w:p w14:paraId="55780E5C" w14:textId="77777777" w:rsidR="0097271B" w:rsidRDefault="00C46B94">
      <w:pPr>
        <w:spacing w:line="336" w:lineRule="auto"/>
        <w:ind w:left="567" w:right="283"/>
      </w:pPr>
      <w:r>
        <w:rPr>
          <w:i/>
          <w:sz w:val="22"/>
        </w:rPr>
        <w:t>This research studies how gig workers on Indian digital platforms experience algorithmic management, the software mediated decisions on task matching, task allocation, compensation, and control that platforms use in place of human supervisors. The research has three objectives:</w:t>
      </w:r>
    </w:p>
    <w:p w14:paraId="79CBB284" w14:textId="77777777" w:rsidR="0097271B" w:rsidRDefault="00C46B94">
      <w:pPr>
        <w:spacing w:after="80" w:line="336" w:lineRule="auto"/>
        <w:ind w:left="907" w:hanging="227"/>
      </w:pPr>
      <w:r>
        <w:rPr>
          <w:i/>
          <w:sz w:val="22"/>
        </w:rPr>
        <w:t>•  To describe how gig workers perceive algorithmic control, algorithmic fairness, and transparency on the platforms they work for.</w:t>
      </w:r>
    </w:p>
    <w:p w14:paraId="168C5CA7" w14:textId="77777777" w:rsidR="0097271B" w:rsidRDefault="00C46B94">
      <w:pPr>
        <w:spacing w:after="80" w:line="336" w:lineRule="auto"/>
        <w:ind w:left="907" w:hanging="227"/>
      </w:pPr>
      <w:r>
        <w:rPr>
          <w:i/>
          <w:sz w:val="22"/>
        </w:rPr>
        <w:t>•  To identify combinations of platform redesign choices that would reduce worker resistance and turnover, and improve worker voice.</w:t>
      </w:r>
    </w:p>
    <w:p w14:paraId="21CB3F52" w14:textId="77777777" w:rsidR="0097271B" w:rsidRDefault="00C46B94">
      <w:pPr>
        <w:spacing w:after="80" w:line="336" w:lineRule="auto"/>
        <w:ind w:left="907" w:hanging="227"/>
      </w:pPr>
      <w:r>
        <w:rPr>
          <w:i/>
          <w:sz w:val="22"/>
        </w:rPr>
        <w:t>•  To generate evidence that platform companies, product management teams, and regulators can use to redesign algorithmic management, prioritise app features, and design worker protection instruments.</w:t>
      </w:r>
    </w:p>
    <w:p w14:paraId="0D48FFAA" w14:textId="77777777" w:rsidR="0097271B" w:rsidRDefault="00C46B94">
      <w:pPr>
        <w:spacing w:line="336" w:lineRule="auto"/>
        <w:ind w:left="567" w:right="283"/>
      </w:pPr>
      <w:r>
        <w:rPr>
          <w:i/>
          <w:sz w:val="22"/>
        </w:rPr>
        <w:t xml:space="preserve">Your participation contributes to the third objective. The survey takes approximately 20 minutes to complete. Participation is voluntary. You may </w:t>
      </w:r>
      <w:r>
        <w:rPr>
          <w:i/>
          <w:sz w:val="22"/>
        </w:rPr>
        <w:lastRenderedPageBreak/>
        <w:t>skip any question or withdraw at any time without giving a reason. Your responses will be anonymised, aggregated with those of other participants, and reported only in composite form. No individual worker will be identifiable in any output from this research.</w:t>
      </w:r>
    </w:p>
    <w:p w14:paraId="4484CC30" w14:textId="77777777" w:rsidR="0097271B" w:rsidRDefault="00C46B94">
      <w:pPr>
        <w:pStyle w:val="Heading3"/>
      </w:pPr>
      <w:r>
        <w:rPr>
          <w:rFonts w:ascii="Arial" w:hAnsi="Arial"/>
        </w:rPr>
        <w:t>6.2.2 Section II. Eligibility to participate</w:t>
      </w:r>
    </w:p>
    <w:p w14:paraId="359A2674" w14:textId="77777777" w:rsidR="0097271B" w:rsidRDefault="00C46B94">
      <w:pPr>
        <w:jc w:val="both"/>
      </w:pPr>
      <w:r>
        <w:t>Section II of the participant information sheet lists the inclusion and exclusion criteria that the recruiter uses to screen a prospective respondent. To be eligible, a respondent must satisfy all of the inclusion criteria and none of the exclusion criteria.</w:t>
      </w:r>
    </w:p>
    <w:p w14:paraId="75C201E2" w14:textId="77777777" w:rsidR="0097271B" w:rsidRDefault="00C46B94">
      <w:pPr>
        <w:spacing w:after="80"/>
      </w:pPr>
      <w:r>
        <w:rPr>
          <w:b/>
        </w:rPr>
        <w:t>Inclusion criteria</w:t>
      </w:r>
    </w:p>
    <w:p w14:paraId="2ECF41D3" w14:textId="77777777" w:rsidR="0097271B" w:rsidRDefault="00C46B94">
      <w:pPr>
        <w:spacing w:after="80"/>
        <w:ind w:left="454" w:hanging="227"/>
      </w:pPr>
      <w:r>
        <w:t>•  Aged 18 years or above.</w:t>
      </w:r>
    </w:p>
    <w:p w14:paraId="601D05E8" w14:textId="77777777" w:rsidR="0097271B" w:rsidRDefault="00C46B94">
      <w:pPr>
        <w:spacing w:after="80"/>
        <w:ind w:left="454" w:hanging="227"/>
      </w:pPr>
      <w:r>
        <w:t>•  Has worked on one of the five listed on demand digital platform categories for at least three continuous months up to the survey date.</w:t>
      </w:r>
    </w:p>
    <w:p w14:paraId="54786F58" w14:textId="77777777" w:rsidR="0097271B" w:rsidRDefault="00C46B94">
      <w:pPr>
        <w:spacing w:after="80"/>
        <w:ind w:left="454" w:hanging="227"/>
      </w:pPr>
      <w:r>
        <w:t>•  Currently receives tasks through the platform app on a personal device (that is, the account is active in the 30 days before the survey).</w:t>
      </w:r>
    </w:p>
    <w:p w14:paraId="2B54698C" w14:textId="77777777" w:rsidR="0097271B" w:rsidRDefault="00C46B94">
      <w:pPr>
        <w:spacing w:after="80"/>
        <w:ind w:left="454" w:hanging="227"/>
      </w:pPr>
      <w:r>
        <w:t>•  Reading comprehension in English, Hindi, or Marathi at a level sufficient to complete a self administered questionnaire.</w:t>
      </w:r>
    </w:p>
    <w:p w14:paraId="6061ECE2" w14:textId="77777777" w:rsidR="0097271B" w:rsidRDefault="00C46B94">
      <w:pPr>
        <w:spacing w:after="80"/>
        <w:ind w:left="454" w:hanging="227"/>
      </w:pPr>
      <w:r>
        <w:t>•  Located in India during the survey window.</w:t>
      </w:r>
    </w:p>
    <w:p w14:paraId="27C98FD1" w14:textId="77777777" w:rsidR="0097271B" w:rsidRDefault="00C46B94">
      <w:pPr>
        <w:spacing w:before="200" w:after="80"/>
      </w:pPr>
      <w:r>
        <w:rPr>
          <w:b/>
        </w:rPr>
        <w:t>Exclusion criteria</w:t>
      </w:r>
    </w:p>
    <w:p w14:paraId="7A9F061C" w14:textId="77777777" w:rsidR="0097271B" w:rsidRDefault="00C46B94">
      <w:pPr>
        <w:spacing w:after="80"/>
        <w:ind w:left="454" w:hanging="227"/>
      </w:pPr>
      <w:r>
        <w:t>•  Is a salaried employee of the platform on the platform's own payroll (fleet drivers, ground staff, or engineering staff are not gig workers for this study).</w:t>
      </w:r>
    </w:p>
    <w:p w14:paraId="41BA616C" w14:textId="77777777" w:rsidR="0097271B" w:rsidRDefault="00C46B94">
      <w:pPr>
        <w:spacing w:after="80"/>
        <w:ind w:left="454" w:hanging="227"/>
      </w:pPr>
      <w:r>
        <w:t>•  Has participated in a previous stage of this research.</w:t>
      </w:r>
    </w:p>
    <w:p w14:paraId="263852D0" w14:textId="77777777" w:rsidR="0097271B" w:rsidRDefault="00C46B94">
      <w:pPr>
        <w:spacing w:after="80"/>
        <w:ind w:left="454" w:hanging="227"/>
      </w:pPr>
      <w:r>
        <w:t>•  Is currently deactivated or suspended by the platform for reasons other than a voluntary pause.</w:t>
      </w:r>
    </w:p>
    <w:p w14:paraId="59CDC296" w14:textId="77777777" w:rsidR="0097271B" w:rsidRDefault="00C46B94">
      <w:pPr>
        <w:jc w:val="both"/>
      </w:pPr>
      <w:r>
        <w:t>Recruitment proceeds through a mix of platform worker union contacts, aggregator gate outreach at pickup hubs, and snowball referral from an initial small set of consenting respondents. Written informed consent is obtained before any survey item is administered. The study protocol is submitted for review by the institutional Ethics Committee, and the data handling procedures follow the Digital Personal Data Protection Act, 2023.</w:t>
      </w:r>
    </w:p>
    <w:p w14:paraId="45AEEA34" w14:textId="77777777" w:rsidR="0097271B" w:rsidRDefault="00C46B94">
      <w:pPr>
        <w:pStyle w:val="Heading3"/>
      </w:pPr>
      <w:r>
        <w:rPr>
          <w:rFonts w:ascii="Arial" w:hAnsi="Arial"/>
        </w:rPr>
        <w:lastRenderedPageBreak/>
        <w:t>6.2.3 Section III. Information rights, confidentiality, and informed consent</w:t>
      </w:r>
    </w:p>
    <w:p w14:paraId="625BB471" w14:textId="77777777" w:rsidR="0097271B" w:rsidRDefault="00C46B94">
      <w:pPr>
        <w:jc w:val="both"/>
      </w:pPr>
      <w:r>
        <w:t>Section III of the participant information sheet sets out what the participant is entitled to know, how their data will be handled, when they can withdraw, and how they record their informed consent. The suggested wording is reproduced below and should be translated into Hindi and Marathi for the pilot.</w:t>
      </w:r>
    </w:p>
    <w:p w14:paraId="73262DF0" w14:textId="77777777" w:rsidR="0097271B" w:rsidRDefault="00C46B94">
      <w:pPr>
        <w:spacing w:before="200" w:after="80"/>
        <w:ind w:left="567"/>
      </w:pPr>
      <w:r>
        <w:rPr>
          <w:b/>
          <w:i/>
          <w:sz w:val="22"/>
        </w:rPr>
        <w:t>Information rights</w:t>
      </w:r>
    </w:p>
    <w:p w14:paraId="1ABD36B1" w14:textId="77777777" w:rsidR="0097271B" w:rsidRDefault="00C46B94">
      <w:pPr>
        <w:spacing w:line="336" w:lineRule="auto"/>
        <w:ind w:left="567" w:right="283"/>
      </w:pPr>
      <w:r>
        <w:rPr>
          <w:i/>
          <w:sz w:val="22"/>
        </w:rPr>
        <w:t>You have the right to be informed about (a) the purpose of this research, (b) the identity of the principal investigator, (c) how your data will be used, (d) how long your data will be stored, and (e) how you can withdraw. All five points are set out on this sheet before you are asked to consent.</w:t>
      </w:r>
    </w:p>
    <w:p w14:paraId="67E7EA5B" w14:textId="77777777" w:rsidR="0097271B" w:rsidRDefault="00C46B94">
      <w:pPr>
        <w:spacing w:before="200" w:after="80"/>
        <w:ind w:left="567"/>
      </w:pPr>
      <w:r>
        <w:rPr>
          <w:b/>
          <w:i/>
          <w:sz w:val="22"/>
        </w:rPr>
        <w:t>Confidentiality</w:t>
      </w:r>
    </w:p>
    <w:p w14:paraId="47169EE4" w14:textId="77777777" w:rsidR="0097271B" w:rsidRDefault="00C46B94">
      <w:pPr>
        <w:spacing w:line="336" w:lineRule="auto"/>
        <w:ind w:left="567" w:right="283"/>
      </w:pPr>
      <w:r>
        <w:rPr>
          <w:i/>
          <w:sz w:val="22"/>
        </w:rPr>
        <w:t>Your responses will be anonymised at the point of data entry. No identifier (name, phone number, platform username, vehicle number, or account number) will be linked to your responses in any research output. Data will be stored on encrypted media accessible only to the principal investigator and the appointed research team. Findings will be reported only in aggregate form. No individual worker will be identifiable in any thesis, paper, presentation, or other output that arises from this research.</w:t>
      </w:r>
    </w:p>
    <w:p w14:paraId="49DA7801" w14:textId="77777777" w:rsidR="0097271B" w:rsidRDefault="00C46B94">
      <w:pPr>
        <w:spacing w:before="200" w:after="80"/>
        <w:ind w:left="567"/>
      </w:pPr>
      <w:r>
        <w:rPr>
          <w:b/>
          <w:i/>
          <w:sz w:val="22"/>
        </w:rPr>
        <w:t>Data use and retention</w:t>
      </w:r>
    </w:p>
    <w:p w14:paraId="5D3A9CC5" w14:textId="77777777" w:rsidR="0097271B" w:rsidRDefault="00C46B94">
      <w:pPr>
        <w:spacing w:line="336" w:lineRule="auto"/>
        <w:ind w:left="567" w:right="283"/>
      </w:pPr>
      <w:r>
        <w:rPr>
          <w:i/>
          <w:sz w:val="22"/>
        </w:rPr>
        <w:t>Your data will be used only for academic research on algorithmic management of gig workers, as set out in the three objectives in Section I. Data will not be sold, shared with your platform, shared with any commercial third party, or used for marketing. Data will be retained in encrypted form for five years from the date of collection. At the end of the five year period the primary dataset will be destroyed, and only summary statistics will remain in the archived thesis.</w:t>
      </w:r>
    </w:p>
    <w:p w14:paraId="2C9D2CAD" w14:textId="77777777" w:rsidR="0097271B" w:rsidRDefault="00C46B94">
      <w:pPr>
        <w:spacing w:before="200" w:after="80"/>
        <w:ind w:left="567"/>
      </w:pPr>
      <w:r>
        <w:rPr>
          <w:b/>
          <w:i/>
          <w:sz w:val="22"/>
        </w:rPr>
        <w:t>Withdrawal</w:t>
      </w:r>
    </w:p>
    <w:p w14:paraId="24C7AD09" w14:textId="77777777" w:rsidR="0097271B" w:rsidRDefault="00C46B94">
      <w:pPr>
        <w:spacing w:line="336" w:lineRule="auto"/>
        <w:ind w:left="567" w:right="283"/>
      </w:pPr>
      <w:r>
        <w:rPr>
          <w:i/>
          <w:sz w:val="22"/>
        </w:rPr>
        <w:t>You may withdraw at any time during the survey by closing the browser or by asking the interviewer to stop. No reason is required, and no partial responses will be retained. After completing the survey, you may withdraw your responses within 14 days by writing to the principal investigator at the address below. To withdraw, quote your response reference number (issued at the end of the survey) and state that you wish to withdraw.</w:t>
      </w:r>
    </w:p>
    <w:p w14:paraId="1B45F0FD" w14:textId="77777777" w:rsidR="0097271B" w:rsidRDefault="00C46B94">
      <w:pPr>
        <w:spacing w:line="336" w:lineRule="auto"/>
        <w:ind w:left="567" w:right="283"/>
      </w:pPr>
      <w:r>
        <w:rPr>
          <w:i/>
          <w:sz w:val="22"/>
        </w:rPr>
        <w:t>Principal investigator: Milind Kamat</w:t>
      </w:r>
    </w:p>
    <w:p w14:paraId="653ACEA8" w14:textId="77777777" w:rsidR="0097271B" w:rsidRDefault="00C46B94">
      <w:pPr>
        <w:spacing w:line="336" w:lineRule="auto"/>
        <w:ind w:left="567" w:right="283"/>
      </w:pPr>
      <w:r>
        <w:rPr>
          <w:i/>
          <w:sz w:val="22"/>
        </w:rPr>
        <w:t>Email: milind.kamat@spjimr.org</w:t>
      </w:r>
    </w:p>
    <w:p w14:paraId="1C16FE71" w14:textId="77777777" w:rsidR="0097271B" w:rsidRDefault="00C46B94">
      <w:pPr>
        <w:spacing w:line="336" w:lineRule="auto"/>
        <w:ind w:left="567" w:right="283"/>
      </w:pPr>
      <w:r>
        <w:rPr>
          <w:i/>
          <w:sz w:val="22"/>
        </w:rPr>
        <w:lastRenderedPageBreak/>
        <w:t>Phone: +91 98201 36644</w:t>
      </w:r>
    </w:p>
    <w:p w14:paraId="392BEEBF" w14:textId="77777777" w:rsidR="0097271B" w:rsidRDefault="00C46B94">
      <w:pPr>
        <w:spacing w:line="336" w:lineRule="auto"/>
        <w:ind w:left="567" w:right="283"/>
      </w:pPr>
      <w:r>
        <w:rPr>
          <w:i/>
          <w:sz w:val="22"/>
        </w:rPr>
        <w:t>After 14 days your responses will have been anonymised and merged into the aggregate dataset, at which point they can no longer be identified for individual withdrawal. The aggregate data continues to be used as described above.</w:t>
      </w:r>
    </w:p>
    <w:p w14:paraId="6572E9FB" w14:textId="77777777" w:rsidR="0097271B" w:rsidRDefault="00C46B94">
      <w:pPr>
        <w:spacing w:before="200" w:after="80"/>
        <w:ind w:left="567"/>
      </w:pPr>
      <w:r>
        <w:rPr>
          <w:b/>
          <w:i/>
          <w:sz w:val="22"/>
        </w:rPr>
        <w:t>Informed consent</w:t>
      </w:r>
    </w:p>
    <w:p w14:paraId="04871ECD" w14:textId="77777777" w:rsidR="0097271B" w:rsidRDefault="00C46B94">
      <w:pPr>
        <w:spacing w:line="336" w:lineRule="auto"/>
        <w:ind w:left="567" w:right="283"/>
      </w:pPr>
      <w:r>
        <w:rPr>
          <w:i/>
          <w:sz w:val="22"/>
        </w:rPr>
        <w:t>Please read each statement below and tick each box to indicate your agreement. You must agree to all six statements to proceed with the survey.</w:t>
      </w:r>
    </w:p>
    <w:p w14:paraId="4EB53F11" w14:textId="77777777" w:rsidR="0097271B" w:rsidRDefault="00C46B94">
      <w:pPr>
        <w:spacing w:after="80" w:line="336" w:lineRule="auto"/>
        <w:ind w:left="907" w:hanging="340"/>
      </w:pPr>
      <w:r>
        <w:rPr>
          <w:sz w:val="22"/>
        </w:rPr>
        <w:t>☐</w:t>
      </w:r>
      <w:r>
        <w:rPr>
          <w:sz w:val="22"/>
        </w:rPr>
        <w:t xml:space="preserve">  I have read and understood the information about this research on this sheet.</w:t>
      </w:r>
    </w:p>
    <w:p w14:paraId="1A41498B" w14:textId="77777777" w:rsidR="0097271B" w:rsidRDefault="00C46B94">
      <w:pPr>
        <w:spacing w:after="80" w:line="336" w:lineRule="auto"/>
        <w:ind w:left="907" w:hanging="340"/>
      </w:pPr>
      <w:r>
        <w:rPr>
          <w:sz w:val="22"/>
        </w:rPr>
        <w:t>☐</w:t>
      </w:r>
      <w:r>
        <w:rPr>
          <w:sz w:val="22"/>
        </w:rPr>
        <w:t xml:space="preserve">  I understand my participation is voluntary and I can withdraw at any time during the survey without giving a reason.</w:t>
      </w:r>
    </w:p>
    <w:p w14:paraId="55AF0F38" w14:textId="77777777" w:rsidR="0097271B" w:rsidRDefault="00C46B94">
      <w:pPr>
        <w:spacing w:after="80" w:line="336" w:lineRule="auto"/>
        <w:ind w:left="907" w:hanging="340"/>
      </w:pPr>
      <w:r>
        <w:rPr>
          <w:sz w:val="22"/>
        </w:rPr>
        <w:t>☐</w:t>
      </w:r>
      <w:r>
        <w:rPr>
          <w:sz w:val="22"/>
        </w:rPr>
        <w:t xml:space="preserve">  I understand I can withdraw my responses within 14 days of completing the survey by writing to the principal investigator.</w:t>
      </w:r>
    </w:p>
    <w:p w14:paraId="37E7BA40" w14:textId="77777777" w:rsidR="0097271B" w:rsidRDefault="00C46B94">
      <w:pPr>
        <w:spacing w:after="80" w:line="336" w:lineRule="auto"/>
        <w:ind w:left="907" w:hanging="340"/>
      </w:pPr>
      <w:r>
        <w:rPr>
          <w:sz w:val="22"/>
        </w:rPr>
        <w:t>☐</w:t>
      </w:r>
      <w:r>
        <w:rPr>
          <w:sz w:val="22"/>
        </w:rPr>
        <w:t xml:space="preserve">  I understand my responses will be anonymised and used only for academic research on algorithmic management of gig workers.</w:t>
      </w:r>
    </w:p>
    <w:p w14:paraId="4FE0FA19" w14:textId="77777777" w:rsidR="0097271B" w:rsidRDefault="00C46B94">
      <w:pPr>
        <w:spacing w:after="80" w:line="336" w:lineRule="auto"/>
        <w:ind w:left="907" w:hanging="340"/>
      </w:pPr>
      <w:r>
        <w:rPr>
          <w:sz w:val="22"/>
        </w:rPr>
        <w:t>☐</w:t>
      </w:r>
      <w:r>
        <w:rPr>
          <w:sz w:val="22"/>
        </w:rPr>
        <w:t xml:space="preserve">  I understand my data will be retained in encrypted form for five years and then destroyed.</w:t>
      </w:r>
    </w:p>
    <w:p w14:paraId="04E76A8D" w14:textId="77777777" w:rsidR="0097271B" w:rsidRDefault="00C46B94">
      <w:pPr>
        <w:spacing w:after="80" w:line="336" w:lineRule="auto"/>
        <w:ind w:left="907" w:hanging="340"/>
      </w:pPr>
      <w:r>
        <w:rPr>
          <w:sz w:val="22"/>
        </w:rPr>
        <w:t>☐</w:t>
      </w:r>
      <w:r>
        <w:rPr>
          <w:sz w:val="22"/>
        </w:rPr>
        <w:t xml:space="preserve">  I confirm I am aged 18 years or above and meet the eligibility criteria set out in Section II.</w:t>
      </w:r>
    </w:p>
    <w:p w14:paraId="3CEF520E" w14:textId="77777777" w:rsidR="0097271B" w:rsidRDefault="00C46B94">
      <w:pPr>
        <w:spacing w:line="336" w:lineRule="auto"/>
        <w:ind w:left="567" w:right="283"/>
      </w:pPr>
      <w:r>
        <w:rPr>
          <w:i/>
          <w:sz w:val="22"/>
        </w:rPr>
        <w:t>On the basis of the six statements above, do you consent to participate in this research?</w:t>
      </w:r>
    </w:p>
    <w:p w14:paraId="442BAAB8" w14:textId="77777777" w:rsidR="0097271B" w:rsidRDefault="00C46B94">
      <w:pPr>
        <w:spacing w:after="80" w:line="336" w:lineRule="auto"/>
        <w:ind w:left="907" w:hanging="340"/>
      </w:pPr>
      <w:r>
        <w:rPr>
          <w:sz w:val="22"/>
        </w:rPr>
        <w:t>☐</w:t>
      </w:r>
      <w:r>
        <w:rPr>
          <w:sz w:val="22"/>
        </w:rPr>
        <w:t xml:space="preserve">  Yes, I consent to participate. Please continue to the next page.</w:t>
      </w:r>
    </w:p>
    <w:p w14:paraId="5A412132" w14:textId="77777777" w:rsidR="0097271B" w:rsidRDefault="00C46B94">
      <w:pPr>
        <w:spacing w:after="80" w:line="336" w:lineRule="auto"/>
        <w:ind w:left="907" w:hanging="340"/>
      </w:pPr>
      <w:r>
        <w:rPr>
          <w:sz w:val="22"/>
        </w:rPr>
        <w:t>☐</w:t>
      </w:r>
      <w:r>
        <w:rPr>
          <w:sz w:val="22"/>
        </w:rPr>
        <w:t xml:space="preserve">  No, I do not consent. The survey ends here. Thank you for your time.</w:t>
      </w:r>
    </w:p>
    <w:p w14:paraId="0FA35887" w14:textId="77777777" w:rsidR="0097271B" w:rsidRDefault="00C46B94">
      <w:pPr>
        <w:jc w:val="both"/>
      </w:pPr>
      <w:r>
        <w:t>The six statement ladder plus the terminal Yes or No selector replaces a bare Yes or No consent question and satisfies three research ethics tests: informed (the participant has confirmed each right individually), specific (each right is stated as a separate assertion), and freely given (the No option ends the survey without penalty).</w:t>
      </w:r>
    </w:p>
    <w:p w14:paraId="0887F2F6" w14:textId="77777777" w:rsidR="0097271B" w:rsidRDefault="00C46B94">
      <w:pPr>
        <w:pStyle w:val="Heading3"/>
      </w:pPr>
      <w:r>
        <w:rPr>
          <w:rFonts w:ascii="Arial" w:hAnsi="Arial"/>
        </w:rPr>
        <w:t>6.2.4 Pilot sampling frame</w:t>
      </w:r>
    </w:p>
    <w:p w14:paraId="62807885" w14:textId="77777777" w:rsidR="0097271B" w:rsidRDefault="00C46B94">
      <w:pPr>
        <w:jc w:val="both"/>
      </w:pPr>
      <w:r>
        <w:t xml:space="preserve">The pilot targets 25 workers stratified across five on demand platform categories, with five workers per category. The category definition follows the Indian gig market segmentation used by NITI Aayog (2022) and complements </w:t>
      </w:r>
      <w:r>
        <w:lastRenderedPageBreak/>
        <w:t>the four decision types set out in Section 1.2 by varying the task type against which each decision type acts.</w:t>
      </w:r>
    </w:p>
    <w:p w14:paraId="759C6626" w14:textId="77777777" w:rsidR="0097271B" w:rsidRDefault="00C46B94">
      <w:pPr>
        <w:spacing w:before="200" w:after="80"/>
      </w:pPr>
      <w:r>
        <w:rPr>
          <w:b/>
          <w:sz w:val="22"/>
        </w:rPr>
        <w:t>Table 6.2  Pilot sampling frame, five categories times five workers.</w:t>
      </w:r>
    </w:p>
    <w:tbl>
      <w:tblPr>
        <w:tblW w:w="0" w:type="auto"/>
        <w:jc w:val="center"/>
        <w:tblLayout w:type="fixed"/>
        <w:tblLook w:val="04A0" w:firstRow="1" w:lastRow="0" w:firstColumn="1" w:lastColumn="0" w:noHBand="0" w:noVBand="1"/>
      </w:tblPr>
      <w:tblGrid>
        <w:gridCol w:w="794"/>
        <w:gridCol w:w="2268"/>
        <w:gridCol w:w="3742"/>
        <w:gridCol w:w="907"/>
      </w:tblGrid>
      <w:tr w:rsidR="0097271B" w14:paraId="3F7BE308" w14:textId="77777777">
        <w:trPr>
          <w:jc w:val="center"/>
        </w:trPr>
        <w:tc>
          <w:tcPr>
            <w:tcW w:w="794" w:type="dxa"/>
            <w:shd w:val="clear" w:color="auto" w:fill="E7E6E6"/>
          </w:tcPr>
          <w:p w14:paraId="0C07A5DC" w14:textId="77777777" w:rsidR="0097271B" w:rsidRDefault="00C46B94">
            <w:pPr>
              <w:spacing w:before="40" w:after="40" w:line="276" w:lineRule="auto"/>
            </w:pPr>
            <w:r>
              <w:rPr>
                <w:b/>
                <w:sz w:val="18"/>
              </w:rPr>
              <w:t>Code</w:t>
            </w:r>
          </w:p>
        </w:tc>
        <w:tc>
          <w:tcPr>
            <w:tcW w:w="2268" w:type="dxa"/>
            <w:shd w:val="clear" w:color="auto" w:fill="E7E6E6"/>
          </w:tcPr>
          <w:p w14:paraId="1C72ABAF" w14:textId="77777777" w:rsidR="0097271B" w:rsidRDefault="00C46B94">
            <w:pPr>
              <w:spacing w:before="40" w:after="40" w:line="276" w:lineRule="auto"/>
            </w:pPr>
            <w:r>
              <w:rPr>
                <w:b/>
                <w:sz w:val="18"/>
              </w:rPr>
              <w:t>Platform category</w:t>
            </w:r>
          </w:p>
        </w:tc>
        <w:tc>
          <w:tcPr>
            <w:tcW w:w="3742" w:type="dxa"/>
            <w:shd w:val="clear" w:color="auto" w:fill="E7E6E6"/>
          </w:tcPr>
          <w:p w14:paraId="76312C57" w14:textId="77777777" w:rsidR="0097271B" w:rsidRDefault="00C46B94">
            <w:pPr>
              <w:spacing w:before="40" w:after="40" w:line="276" w:lineRule="auto"/>
            </w:pPr>
            <w:r>
              <w:rPr>
                <w:b/>
                <w:sz w:val="18"/>
              </w:rPr>
              <w:t>Illustrative Indian platforms</w:t>
            </w:r>
          </w:p>
        </w:tc>
        <w:tc>
          <w:tcPr>
            <w:tcW w:w="907" w:type="dxa"/>
            <w:shd w:val="clear" w:color="auto" w:fill="E7E6E6"/>
          </w:tcPr>
          <w:p w14:paraId="577F08A7" w14:textId="77777777" w:rsidR="0097271B" w:rsidRDefault="00C46B94">
            <w:pPr>
              <w:spacing w:before="40" w:after="40" w:line="276" w:lineRule="auto"/>
            </w:pPr>
            <w:r>
              <w:rPr>
                <w:b/>
                <w:sz w:val="18"/>
              </w:rPr>
              <w:t>n</w:t>
            </w:r>
          </w:p>
        </w:tc>
      </w:tr>
      <w:tr w:rsidR="0097271B" w14:paraId="71F8923C" w14:textId="77777777">
        <w:trPr>
          <w:jc w:val="center"/>
        </w:trPr>
        <w:tc>
          <w:tcPr>
            <w:tcW w:w="794" w:type="dxa"/>
          </w:tcPr>
          <w:p w14:paraId="0EC1871F" w14:textId="77777777" w:rsidR="0097271B" w:rsidRDefault="00C46B94">
            <w:pPr>
              <w:spacing w:before="40" w:after="40" w:line="276" w:lineRule="auto"/>
            </w:pPr>
            <w:r>
              <w:rPr>
                <w:sz w:val="16"/>
              </w:rPr>
              <w:t>C1</w:t>
            </w:r>
          </w:p>
        </w:tc>
        <w:tc>
          <w:tcPr>
            <w:tcW w:w="2268" w:type="dxa"/>
          </w:tcPr>
          <w:p w14:paraId="3169623D" w14:textId="77777777" w:rsidR="0097271B" w:rsidRDefault="00C46B94">
            <w:pPr>
              <w:spacing w:before="40" w:after="40" w:line="276" w:lineRule="auto"/>
            </w:pPr>
            <w:r>
              <w:rPr>
                <w:sz w:val="16"/>
              </w:rPr>
              <w:t>Ride sharing and hailing</w:t>
            </w:r>
          </w:p>
        </w:tc>
        <w:tc>
          <w:tcPr>
            <w:tcW w:w="3742" w:type="dxa"/>
          </w:tcPr>
          <w:p w14:paraId="32EA9DEB" w14:textId="77777777" w:rsidR="0097271B" w:rsidRDefault="00C46B94">
            <w:pPr>
              <w:spacing w:before="40" w:after="40" w:line="276" w:lineRule="auto"/>
            </w:pPr>
            <w:r>
              <w:rPr>
                <w:sz w:val="16"/>
              </w:rPr>
              <w:t>Uber, Ola, Rapido, InDrive</w:t>
            </w:r>
          </w:p>
        </w:tc>
        <w:tc>
          <w:tcPr>
            <w:tcW w:w="907" w:type="dxa"/>
          </w:tcPr>
          <w:p w14:paraId="6DB91F74" w14:textId="77777777" w:rsidR="0097271B" w:rsidRDefault="00C46B94">
            <w:pPr>
              <w:spacing w:before="40" w:after="40" w:line="276" w:lineRule="auto"/>
            </w:pPr>
            <w:r>
              <w:rPr>
                <w:sz w:val="16"/>
              </w:rPr>
              <w:t>5</w:t>
            </w:r>
          </w:p>
        </w:tc>
      </w:tr>
      <w:tr w:rsidR="0097271B" w14:paraId="1939529D" w14:textId="77777777">
        <w:trPr>
          <w:jc w:val="center"/>
        </w:trPr>
        <w:tc>
          <w:tcPr>
            <w:tcW w:w="794" w:type="dxa"/>
          </w:tcPr>
          <w:p w14:paraId="680EF39E" w14:textId="77777777" w:rsidR="0097271B" w:rsidRDefault="00C46B94">
            <w:pPr>
              <w:spacing w:before="40" w:after="40" w:line="276" w:lineRule="auto"/>
            </w:pPr>
            <w:r>
              <w:rPr>
                <w:sz w:val="16"/>
              </w:rPr>
              <w:t>C2</w:t>
            </w:r>
          </w:p>
        </w:tc>
        <w:tc>
          <w:tcPr>
            <w:tcW w:w="2268" w:type="dxa"/>
          </w:tcPr>
          <w:p w14:paraId="20A4DCED" w14:textId="77777777" w:rsidR="0097271B" w:rsidRDefault="00C46B94">
            <w:pPr>
              <w:spacing w:before="40" w:after="40" w:line="276" w:lineRule="auto"/>
            </w:pPr>
            <w:r>
              <w:rPr>
                <w:sz w:val="16"/>
              </w:rPr>
              <w:t>Food delivery</w:t>
            </w:r>
          </w:p>
        </w:tc>
        <w:tc>
          <w:tcPr>
            <w:tcW w:w="3742" w:type="dxa"/>
          </w:tcPr>
          <w:p w14:paraId="6FBC327B" w14:textId="77777777" w:rsidR="0097271B" w:rsidRDefault="00C46B94">
            <w:pPr>
              <w:spacing w:before="40" w:after="40" w:line="276" w:lineRule="auto"/>
            </w:pPr>
            <w:r>
              <w:rPr>
                <w:sz w:val="16"/>
              </w:rPr>
              <w:t>Swiggy, Zomato</w:t>
            </w:r>
          </w:p>
        </w:tc>
        <w:tc>
          <w:tcPr>
            <w:tcW w:w="907" w:type="dxa"/>
          </w:tcPr>
          <w:p w14:paraId="21E99657" w14:textId="77777777" w:rsidR="0097271B" w:rsidRDefault="00C46B94">
            <w:pPr>
              <w:spacing w:before="40" w:after="40" w:line="276" w:lineRule="auto"/>
            </w:pPr>
            <w:r>
              <w:rPr>
                <w:sz w:val="16"/>
              </w:rPr>
              <w:t>5</w:t>
            </w:r>
          </w:p>
        </w:tc>
      </w:tr>
      <w:tr w:rsidR="0097271B" w14:paraId="096F2412" w14:textId="77777777">
        <w:trPr>
          <w:jc w:val="center"/>
        </w:trPr>
        <w:tc>
          <w:tcPr>
            <w:tcW w:w="794" w:type="dxa"/>
          </w:tcPr>
          <w:p w14:paraId="4722FDB1" w14:textId="77777777" w:rsidR="0097271B" w:rsidRDefault="00C46B94">
            <w:pPr>
              <w:spacing w:before="40" w:after="40" w:line="276" w:lineRule="auto"/>
            </w:pPr>
            <w:r>
              <w:rPr>
                <w:sz w:val="16"/>
              </w:rPr>
              <w:t>C3</w:t>
            </w:r>
          </w:p>
        </w:tc>
        <w:tc>
          <w:tcPr>
            <w:tcW w:w="2268" w:type="dxa"/>
          </w:tcPr>
          <w:p w14:paraId="246B5308" w14:textId="77777777" w:rsidR="0097271B" w:rsidRDefault="00C46B94">
            <w:pPr>
              <w:spacing w:before="40" w:after="40" w:line="276" w:lineRule="auto"/>
            </w:pPr>
            <w:r>
              <w:rPr>
                <w:sz w:val="16"/>
              </w:rPr>
              <w:t>Grocery and quick commerce delivery</w:t>
            </w:r>
          </w:p>
        </w:tc>
        <w:tc>
          <w:tcPr>
            <w:tcW w:w="3742" w:type="dxa"/>
          </w:tcPr>
          <w:p w14:paraId="445D2AAE" w14:textId="77777777" w:rsidR="0097271B" w:rsidRDefault="00C46B94">
            <w:pPr>
              <w:spacing w:before="40" w:after="40" w:line="276" w:lineRule="auto"/>
            </w:pPr>
            <w:r>
              <w:rPr>
                <w:sz w:val="16"/>
              </w:rPr>
              <w:t>Zepto, Blinkit, Swiggy Instamart, BigBasket Now</w:t>
            </w:r>
          </w:p>
        </w:tc>
        <w:tc>
          <w:tcPr>
            <w:tcW w:w="907" w:type="dxa"/>
          </w:tcPr>
          <w:p w14:paraId="453B27B5" w14:textId="77777777" w:rsidR="0097271B" w:rsidRDefault="00C46B94">
            <w:pPr>
              <w:spacing w:before="40" w:after="40" w:line="276" w:lineRule="auto"/>
            </w:pPr>
            <w:r>
              <w:rPr>
                <w:sz w:val="16"/>
              </w:rPr>
              <w:t>5</w:t>
            </w:r>
          </w:p>
        </w:tc>
      </w:tr>
      <w:tr w:rsidR="0097271B" w14:paraId="34A4A161" w14:textId="77777777">
        <w:trPr>
          <w:jc w:val="center"/>
        </w:trPr>
        <w:tc>
          <w:tcPr>
            <w:tcW w:w="794" w:type="dxa"/>
          </w:tcPr>
          <w:p w14:paraId="07C78DCD" w14:textId="77777777" w:rsidR="0097271B" w:rsidRDefault="00C46B94">
            <w:pPr>
              <w:spacing w:before="40" w:after="40" w:line="276" w:lineRule="auto"/>
            </w:pPr>
            <w:r>
              <w:rPr>
                <w:sz w:val="16"/>
              </w:rPr>
              <w:t>C4</w:t>
            </w:r>
          </w:p>
        </w:tc>
        <w:tc>
          <w:tcPr>
            <w:tcW w:w="2268" w:type="dxa"/>
          </w:tcPr>
          <w:p w14:paraId="0D979AFD" w14:textId="77777777" w:rsidR="0097271B" w:rsidRDefault="00C46B94">
            <w:pPr>
              <w:spacing w:before="40" w:after="40" w:line="276" w:lineRule="auto"/>
            </w:pPr>
            <w:r>
              <w:rPr>
                <w:sz w:val="16"/>
              </w:rPr>
              <w:t>Home services and domestic help</w:t>
            </w:r>
          </w:p>
        </w:tc>
        <w:tc>
          <w:tcPr>
            <w:tcW w:w="3742" w:type="dxa"/>
          </w:tcPr>
          <w:p w14:paraId="0C218127" w14:textId="77777777" w:rsidR="0097271B" w:rsidRDefault="00C46B94">
            <w:pPr>
              <w:spacing w:before="40" w:after="40" w:line="276" w:lineRule="auto"/>
            </w:pPr>
            <w:r>
              <w:rPr>
                <w:sz w:val="16"/>
              </w:rPr>
              <w:t>Urban Company, Housejoy, Broomees, Bookmybai</w:t>
            </w:r>
          </w:p>
        </w:tc>
        <w:tc>
          <w:tcPr>
            <w:tcW w:w="907" w:type="dxa"/>
          </w:tcPr>
          <w:p w14:paraId="7C647335" w14:textId="77777777" w:rsidR="0097271B" w:rsidRDefault="00C46B94">
            <w:pPr>
              <w:spacing w:before="40" w:after="40" w:line="276" w:lineRule="auto"/>
            </w:pPr>
            <w:r>
              <w:rPr>
                <w:sz w:val="16"/>
              </w:rPr>
              <w:t>5</w:t>
            </w:r>
          </w:p>
        </w:tc>
      </w:tr>
      <w:tr w:rsidR="0097271B" w14:paraId="116F1481" w14:textId="77777777">
        <w:trPr>
          <w:jc w:val="center"/>
        </w:trPr>
        <w:tc>
          <w:tcPr>
            <w:tcW w:w="794" w:type="dxa"/>
          </w:tcPr>
          <w:p w14:paraId="2ACFDA16" w14:textId="77777777" w:rsidR="0097271B" w:rsidRDefault="00C46B94">
            <w:pPr>
              <w:spacing w:before="40" w:after="40" w:line="276" w:lineRule="auto"/>
            </w:pPr>
            <w:r>
              <w:rPr>
                <w:sz w:val="16"/>
              </w:rPr>
              <w:t>C5</w:t>
            </w:r>
          </w:p>
        </w:tc>
        <w:tc>
          <w:tcPr>
            <w:tcW w:w="2268" w:type="dxa"/>
          </w:tcPr>
          <w:p w14:paraId="02EE3B4A" w14:textId="77777777" w:rsidR="0097271B" w:rsidRDefault="00C46B94">
            <w:pPr>
              <w:spacing w:before="40" w:after="40" w:line="276" w:lineRule="auto"/>
            </w:pPr>
            <w:r>
              <w:rPr>
                <w:sz w:val="16"/>
              </w:rPr>
              <w:t>Parcel and last mile logistics</w:t>
            </w:r>
          </w:p>
        </w:tc>
        <w:tc>
          <w:tcPr>
            <w:tcW w:w="3742" w:type="dxa"/>
          </w:tcPr>
          <w:p w14:paraId="08652954" w14:textId="77777777" w:rsidR="0097271B" w:rsidRDefault="00C46B94">
            <w:pPr>
              <w:spacing w:before="40" w:after="40" w:line="276" w:lineRule="auto"/>
            </w:pPr>
            <w:r>
              <w:rPr>
                <w:sz w:val="16"/>
              </w:rPr>
              <w:t>Porter, Dunzo, Amazon Flex, Ekart delivery partners</w:t>
            </w:r>
          </w:p>
        </w:tc>
        <w:tc>
          <w:tcPr>
            <w:tcW w:w="907" w:type="dxa"/>
          </w:tcPr>
          <w:p w14:paraId="2BEF2BC6" w14:textId="77777777" w:rsidR="0097271B" w:rsidRDefault="00C46B94">
            <w:pPr>
              <w:spacing w:before="40" w:after="40" w:line="276" w:lineRule="auto"/>
            </w:pPr>
            <w:r>
              <w:rPr>
                <w:sz w:val="16"/>
              </w:rPr>
              <w:t>5</w:t>
            </w:r>
          </w:p>
        </w:tc>
      </w:tr>
      <w:tr w:rsidR="0097271B" w14:paraId="21A9E615" w14:textId="77777777">
        <w:trPr>
          <w:jc w:val="center"/>
        </w:trPr>
        <w:tc>
          <w:tcPr>
            <w:tcW w:w="794" w:type="dxa"/>
            <w:shd w:val="clear" w:color="auto" w:fill="E7E6E6"/>
          </w:tcPr>
          <w:p w14:paraId="6D724B53" w14:textId="77777777" w:rsidR="0097271B" w:rsidRDefault="0097271B">
            <w:pPr>
              <w:spacing w:before="40" w:after="40" w:line="276" w:lineRule="auto"/>
            </w:pPr>
          </w:p>
        </w:tc>
        <w:tc>
          <w:tcPr>
            <w:tcW w:w="2268" w:type="dxa"/>
            <w:shd w:val="clear" w:color="auto" w:fill="E7E6E6"/>
          </w:tcPr>
          <w:p w14:paraId="54C0A906" w14:textId="77777777" w:rsidR="0097271B" w:rsidRDefault="00C46B94">
            <w:pPr>
              <w:spacing w:before="40" w:after="40" w:line="276" w:lineRule="auto"/>
            </w:pPr>
            <w:r>
              <w:rPr>
                <w:b/>
                <w:sz w:val="16"/>
              </w:rPr>
              <w:t>Total pilot sample</w:t>
            </w:r>
          </w:p>
        </w:tc>
        <w:tc>
          <w:tcPr>
            <w:tcW w:w="3742" w:type="dxa"/>
            <w:shd w:val="clear" w:color="auto" w:fill="E7E6E6"/>
          </w:tcPr>
          <w:p w14:paraId="7E2122C4" w14:textId="77777777" w:rsidR="0097271B" w:rsidRDefault="0097271B">
            <w:pPr>
              <w:spacing w:before="40" w:after="40" w:line="276" w:lineRule="auto"/>
            </w:pPr>
          </w:p>
        </w:tc>
        <w:tc>
          <w:tcPr>
            <w:tcW w:w="907" w:type="dxa"/>
            <w:shd w:val="clear" w:color="auto" w:fill="E7E6E6"/>
          </w:tcPr>
          <w:p w14:paraId="583FC65E" w14:textId="77777777" w:rsidR="0097271B" w:rsidRDefault="00C46B94">
            <w:pPr>
              <w:spacing w:before="40" w:after="40" w:line="276" w:lineRule="auto"/>
            </w:pPr>
            <w:r>
              <w:rPr>
                <w:b/>
                <w:sz w:val="16"/>
              </w:rPr>
              <w:t>25</w:t>
            </w:r>
          </w:p>
        </w:tc>
      </w:tr>
    </w:tbl>
    <w:p w14:paraId="0DEC769E" w14:textId="77777777" w:rsidR="0097271B" w:rsidRDefault="00C46B94">
      <w:pPr>
        <w:spacing w:before="40" w:after="200"/>
      </w:pPr>
      <w:r>
        <w:rPr>
          <w:i/>
          <w:sz w:val="20"/>
        </w:rPr>
        <w:t>Source: category definitions adapted from NITI Aayog (2022) India's Booming Gig and Platform Economy and cross checked against aggregator league tables of active Indian platform apps.</w:t>
      </w:r>
    </w:p>
    <w:p w14:paraId="438F4DB6" w14:textId="77777777" w:rsidR="0097271B" w:rsidRDefault="00C46B94">
      <w:pPr>
        <w:jc w:val="both"/>
      </w:pPr>
      <w:r>
        <w:t>Stratification across five categories serves two purposes. First, it spreads item exposure across platforms that differ in task type (passenger transport, food, groceries, home services and household help, parcels) so construct items are stress tested for wording that is platform neutral. Second, it seeds the generative worker personas in RQ1 with a five category profile skeleton that agentic AI can later scale to a larger synthetic worker population without collapsing to a single dominant platform stereoty</w:t>
      </w:r>
      <w:r>
        <w:t>pe. Twenty five workers is not a variance based inference sample; the pilot is calibration only. Confirmatory factor analysis and construct validity assessment require the stage two sample sized per the technique chosen for each of the three research questions.</w:t>
      </w:r>
    </w:p>
    <w:p w14:paraId="6BA50F70" w14:textId="77777777" w:rsidR="0097271B" w:rsidRDefault="00C46B94">
      <w:r>
        <w:br w:type="page"/>
      </w:r>
    </w:p>
    <w:p w14:paraId="364E311A" w14:textId="77777777" w:rsidR="0097271B" w:rsidRDefault="00C46B94">
      <w:pPr>
        <w:pStyle w:val="Heading1"/>
      </w:pPr>
      <w:r>
        <w:rPr>
          <w:rFonts w:ascii="Arial" w:hAnsi="Arial"/>
        </w:rPr>
        <w:lastRenderedPageBreak/>
        <w:t>7. Notes and limitations</w:t>
      </w:r>
    </w:p>
    <w:p w14:paraId="70BE7E32" w14:textId="77777777" w:rsidR="0097271B" w:rsidRDefault="00C46B94">
      <w:pPr>
        <w:jc w:val="both"/>
      </w:pPr>
      <w:r>
        <w:t>All seven focal papers are qualitative or conceptual and none contains an original quantitative Likert instrument. Related scales were identified in subsequent empirical papers published between 2021 and 2026 in journals such as Human Resource Management, European Journal of Information Systems, Behavioral Sciences, and AIS conference proceedings (ECIS, HICSS) that explicitly build on the focal papers' constructs.</w:t>
      </w:r>
    </w:p>
    <w:p w14:paraId="56FC3681" w14:textId="77777777" w:rsidR="0097271B" w:rsidRDefault="00C46B94">
      <w:pPr>
        <w:jc w:val="both"/>
      </w:pPr>
      <w:r>
        <w:t>Pachidi et al. (2021), an A star ranked paper on the regime of knowing, symbolic conformity, and symbolic advocacy, is excluded from this document because no validated survey scale operationalising its constructs for platform or gig workers could be located. Only a tangential, non gig enabling control measure existed, which does not meet the inclusion bar.</w:t>
      </w:r>
    </w:p>
    <w:p w14:paraId="24C3D3E6" w14:textId="77777777" w:rsidR="0097271B" w:rsidRDefault="00C46B94">
      <w:pPr>
        <w:jc w:val="both"/>
      </w:pPr>
      <w:r>
        <w:t>Rahman and Valentine (2021) on managerial control through collaborative repair is also excluded entirely. The first candidate related scale, an Employee Trust Repair Scale, lacked accessible verbatim items. The second candidate was coercive management control systems from a 2019 Revista Contabilidade and Financas paper. That scale was developed for traditional organisational settings rather than algorithmic management companies or gig workers, which fails this document's inclusion criterion.</w:t>
      </w:r>
    </w:p>
    <w:p w14:paraId="07A4DAA7" w14:textId="77777777" w:rsidR="0097271B" w:rsidRDefault="00C46B94">
      <w:pPr>
        <w:jc w:val="both"/>
      </w:pPr>
      <w:r>
        <w:t>The Pei et al. (2021) scale is published in a Chinese language journal (Nankai Business Review) and a DOI is not locatable, so the citation is reported without a DOI.</w:t>
      </w:r>
    </w:p>
    <w:p w14:paraId="5A64DFB4" w14:textId="77777777" w:rsidR="0097271B" w:rsidRDefault="00C46B94">
      <w:pPr>
        <w:jc w:val="both"/>
      </w:pPr>
      <w:r>
        <w:t>Section 4 is a supplementary extension beyond the seven core A star ranked papers, added to trace satisfaction, loyalty, voice, and exit outcomes. Its sources were identified through targeted follow up search rather than the original Australian Business Deans Council A star list. Two of its scales lack publicly disclosed item wording: the trust mediated continuance instrument (Mustafa and Mansour, 2026) and the Gig Platform Governance scale (Awasthy, Singh and Gupta, 2026). Confirmed dimension and item coun</w:t>
      </w:r>
      <w:r>
        <w:t>ts are reported for both, and the wording gap is flagged rather than fabricated.</w:t>
      </w:r>
    </w:p>
    <w:p w14:paraId="6AE6EE94" w14:textId="77777777" w:rsidR="0097271B" w:rsidRDefault="00C46B94">
      <w:pPr>
        <w:jc w:val="both"/>
      </w:pPr>
      <w:r>
        <w:t xml:space="preserve">The composite survey in Section 6 is a proposed instrument for gig worker self report and has not been pilot tested as a single composite. Confirmatory factor analysis is required before the composite is used for hypothesis testing. Any </w:t>
      </w:r>
      <w:r>
        <w:lastRenderedPageBreak/>
        <w:t>measurement model interpretation should acknowledge that the constituent scales were validated on different platform populations (ride hailing, food delivery, freelance marketplaces). Those populations vary in the mix of algorithmic decision types they present to workers.</w:t>
      </w:r>
    </w:p>
    <w:p w14:paraId="385B9D13" w14:textId="77777777" w:rsidR="0097271B" w:rsidRDefault="00C46B94">
      <w:r>
        <w:br w:type="page"/>
      </w:r>
    </w:p>
    <w:p w14:paraId="2DA5BEBD" w14:textId="77777777" w:rsidR="0097271B" w:rsidRDefault="00C46B94">
      <w:pPr>
        <w:pStyle w:val="Heading1"/>
      </w:pPr>
      <w:r>
        <w:rPr>
          <w:rFonts w:ascii="Arial" w:hAnsi="Arial"/>
        </w:rPr>
        <w:lastRenderedPageBreak/>
        <w:t>References</w:t>
      </w:r>
    </w:p>
    <w:p w14:paraId="4A933486" w14:textId="77777777" w:rsidR="0097271B" w:rsidRDefault="00C46B94">
      <w:pPr>
        <w:ind w:left="720" w:hanging="720"/>
      </w:pPr>
      <w:r>
        <w:rPr>
          <w:sz w:val="22"/>
        </w:rPr>
        <w:t>Argyle, L. P., Busby, E. C., Fulda, N., Gubler, J. R., Rytting, C., and Wingate, D. (2023). Out of one, many: Using language models to simulate human samples. Political Analysis, 31(3), 337 to 351. DOI: 10.1017/pan.2023.2</w:t>
      </w:r>
    </w:p>
    <w:p w14:paraId="0C52C6AF" w14:textId="77777777" w:rsidR="0097271B" w:rsidRDefault="00C46B94">
      <w:pPr>
        <w:ind w:left="720" w:hanging="720"/>
      </w:pPr>
      <w:r>
        <w:rPr>
          <w:sz w:val="22"/>
        </w:rPr>
        <w:t>Awasthy, R., Singh, S., and Gupta, A. (2026). Workers' perception of gig platform governance: Scale development and validation. Information Technology and People. DOI: 10.1108/ITP-05-2025-0655</w:t>
      </w:r>
    </w:p>
    <w:p w14:paraId="5E9CDE6C" w14:textId="77777777" w:rsidR="0097271B" w:rsidRDefault="00C46B94">
      <w:pPr>
        <w:ind w:left="720" w:hanging="720"/>
      </w:pPr>
      <w:r>
        <w:rPr>
          <w:sz w:val="22"/>
        </w:rPr>
        <w:t>Bail, C. A. (2024). Can generative AI improve social science? Proceedings of the National Academy of Sciences, 121(21), e2314021121. DOI: 10.1073/pnas.2314021121</w:t>
      </w:r>
    </w:p>
    <w:p w14:paraId="430DAD93" w14:textId="77777777" w:rsidR="0097271B" w:rsidRDefault="00C46B94">
      <w:pPr>
        <w:ind w:left="720" w:hanging="720"/>
      </w:pPr>
      <w:r>
        <w:rPr>
          <w:sz w:val="22"/>
        </w:rPr>
        <w:t>Boiko, D. A., MacKnight, R., and Gomes, G. (2023). Emergent autonomous scientific research capabilities of large language models. arXiv preprint arXiv:2304.05332.</w:t>
      </w:r>
    </w:p>
    <w:p w14:paraId="7EC8C028" w14:textId="77777777" w:rsidR="0097271B" w:rsidRDefault="00C46B94">
      <w:pPr>
        <w:ind w:left="720" w:hanging="720"/>
      </w:pPr>
      <w:r>
        <w:rPr>
          <w:sz w:val="22"/>
        </w:rPr>
        <w:t>Bucher, E., and Schou, P. (2022). Divided we fall: The breakdown of gig worker solidarity in online communities. New Technology, Work and Employment. DOI: 10.1111/ntwe.12260</w:t>
      </w:r>
    </w:p>
    <w:p w14:paraId="7680C3FA" w14:textId="77777777" w:rsidR="0097271B" w:rsidRDefault="00C46B94">
      <w:pPr>
        <w:ind w:left="720" w:hanging="720"/>
      </w:pPr>
      <w:r>
        <w:rPr>
          <w:sz w:val="22"/>
        </w:rPr>
        <w:t>Cameron, L. D. (2022). Making out while driving: Relational and efficiency games in the gig economy. Organization Science, 33(1), 231 to 252. DOI: 10.1287/orsc.2021.1547</w:t>
      </w:r>
    </w:p>
    <w:p w14:paraId="44EB3AFE" w14:textId="77777777" w:rsidR="0097271B" w:rsidRDefault="00C46B94">
      <w:pPr>
        <w:ind w:left="720" w:hanging="720"/>
      </w:pPr>
      <w:r>
        <w:rPr>
          <w:sz w:val="22"/>
        </w:rPr>
        <w:t>Cameron, L. D., and Rahman, H. (2022). Expanding the locus of resistance: Understanding the co constitution of control and resistance in the gig economy. Organization Science, 33(1), 38 to 58. DOI: 10.1287/orsc.2021.1557</w:t>
      </w:r>
    </w:p>
    <w:p w14:paraId="0F42EEC7" w14:textId="77777777" w:rsidR="0097271B" w:rsidRDefault="00C46B94">
      <w:pPr>
        <w:ind w:left="720" w:hanging="720"/>
      </w:pPr>
      <w:r>
        <w:rPr>
          <w:sz w:val="22"/>
        </w:rPr>
        <w:t>Cammann, C., Fichman, M., Jenkins, D., and Klesh, J. (1979). The Michigan Organizational Assessment Questionnaire. Ann Arbor: University of Michigan.</w:t>
      </w:r>
    </w:p>
    <w:p w14:paraId="15CF0D3B" w14:textId="77777777" w:rsidR="0097271B" w:rsidRDefault="00C46B94">
      <w:pPr>
        <w:ind w:left="720" w:hanging="720"/>
      </w:pPr>
      <w:r>
        <w:rPr>
          <w:sz w:val="22"/>
        </w:rPr>
        <w:t>Clark, A. E. (2005). Your money or your life: Changing job quality in OECD countries. British Journal of Industrial Relations, 43(3), 377 to 400.</w:t>
      </w:r>
    </w:p>
    <w:p w14:paraId="433B481B" w14:textId="77777777" w:rsidR="0097271B" w:rsidRDefault="00C46B94">
      <w:pPr>
        <w:ind w:left="720" w:hanging="720"/>
      </w:pPr>
      <w:r>
        <w:rPr>
          <w:sz w:val="22"/>
        </w:rPr>
        <w:t>Colquitt, J. A. (2001). On the dimensionality of organizational justice: A construct validation of a measure. Journal of Applied Psychology, 86(3), 386 to 400.</w:t>
      </w:r>
    </w:p>
    <w:p w14:paraId="544A0C13" w14:textId="77777777" w:rsidR="0097271B" w:rsidRDefault="00C46B94">
      <w:pPr>
        <w:ind w:left="720" w:hanging="720"/>
      </w:pPr>
      <w:r>
        <w:rPr>
          <w:sz w:val="22"/>
        </w:rPr>
        <w:t>Curchod, C., Patriotta, G., Cohen, L., and Neysen, N. (2020). Working for an algorithm: Power asymmetries and agency in online work settings. Administrative Science Quarterly, 65(3), 644 to 676. DOI: 10.1177/0001839219867024</w:t>
      </w:r>
    </w:p>
    <w:p w14:paraId="37BE0DB1" w14:textId="77777777" w:rsidR="0097271B" w:rsidRDefault="00C46B94">
      <w:pPr>
        <w:ind w:left="720" w:hanging="720"/>
      </w:pPr>
      <w:r>
        <w:rPr>
          <w:sz w:val="22"/>
        </w:rPr>
        <w:t>Edwards, R. (1979). Contested terrain: The transformation of the workplace in the twentieth century. New York: Basic Books.</w:t>
      </w:r>
    </w:p>
    <w:p w14:paraId="11202282" w14:textId="77777777" w:rsidR="0097271B" w:rsidRDefault="00C46B94">
      <w:pPr>
        <w:ind w:left="720" w:hanging="720"/>
      </w:pPr>
      <w:r>
        <w:rPr>
          <w:sz w:val="22"/>
        </w:rPr>
        <w:lastRenderedPageBreak/>
        <w:t>Eppmann, R., Bekk, M., and Klein, K. (2018). Gameful experience in gamification: Construction and validation of a Gameful Experience Scale (GAMEX). Journal of Interactive Marketing, 43, 98 to 115. DOI: 10.1016/j.intmar.2018.03.002</w:t>
      </w:r>
    </w:p>
    <w:p w14:paraId="18D89B96" w14:textId="77777777" w:rsidR="0097271B" w:rsidRDefault="00C46B94">
      <w:pPr>
        <w:ind w:left="720" w:hanging="720"/>
      </w:pPr>
      <w:r>
        <w:rPr>
          <w:sz w:val="22"/>
        </w:rPr>
        <w:t>Espeland, W. N., and Sauder, M. (2007). Rankings and reactivity: How public measures recreate social worlds. American Journal of Sociology, 113(1), 1 to 40.</w:t>
      </w:r>
    </w:p>
    <w:p w14:paraId="48D59279" w14:textId="77777777" w:rsidR="0097271B" w:rsidRDefault="00C46B94">
      <w:pPr>
        <w:ind w:left="720" w:hanging="720"/>
      </w:pPr>
      <w:r>
        <w:rPr>
          <w:sz w:val="22"/>
        </w:rPr>
        <w:t>Grossmann, I., Feinberg, M., Parker, D. C., Christakis, N. A., Tetlock, P. E., and Cunningham, W. A. (2023). AI and the transformation of social science research. Science, 380(6650), 1108 to 1109. DOI: 10.1126/science.adi1778</w:t>
      </w:r>
    </w:p>
    <w:p w14:paraId="446102A6" w14:textId="77777777" w:rsidR="0097271B" w:rsidRDefault="00C46B94">
      <w:pPr>
        <w:ind w:left="720" w:hanging="720"/>
      </w:pPr>
      <w:r>
        <w:rPr>
          <w:sz w:val="22"/>
        </w:rPr>
        <w:t>Hajiheydari, N., and Delgosha, M. S. (2026). Staying or leaving? A person centred view of algorithmic management and gig worker attrition. Journal of Business Research, 210. DOI: 10.1016/j.jbusres.2026.116092</w:t>
      </w:r>
    </w:p>
    <w:p w14:paraId="58AF7A36" w14:textId="77777777" w:rsidR="0097271B" w:rsidRDefault="00C46B94">
      <w:pPr>
        <w:ind w:left="720" w:hanging="720"/>
      </w:pPr>
      <w:r>
        <w:rPr>
          <w:sz w:val="22"/>
        </w:rPr>
        <w:t>Hirschman, A. O. (1970). Exit, voice, and loyalty: Responses to decline in firms, organizations, and states. Cambridge, MA: Harvard University Press.</w:t>
      </w:r>
    </w:p>
    <w:p w14:paraId="5EF056A3" w14:textId="77777777" w:rsidR="0097271B" w:rsidRDefault="00C46B94">
      <w:pPr>
        <w:ind w:left="720" w:hanging="720"/>
      </w:pPr>
      <w:r>
        <w:rPr>
          <w:sz w:val="22"/>
        </w:rPr>
        <w:t>Hoddinghaus, M., Sondern, D., and Hertel, G. (2021). The automation of leadership functions: Would people trust decision algorithms? Computers in Human Behavior, 116. DOI: 10.1016/j.chb.2020.106635</w:t>
      </w:r>
    </w:p>
    <w:p w14:paraId="45389011" w14:textId="77777777" w:rsidR="0097271B" w:rsidRDefault="00C46B94">
      <w:pPr>
        <w:ind w:left="720" w:hanging="720"/>
      </w:pPr>
      <w:r>
        <w:rPr>
          <w:sz w:val="22"/>
        </w:rPr>
        <w:t>International Labour Organization (2020). ILO Monitor: COVID 19 and the world of work. Geneva: International Labour Office.</w:t>
      </w:r>
    </w:p>
    <w:p w14:paraId="25FBC8C0" w14:textId="77777777" w:rsidR="0097271B" w:rsidRDefault="00C46B94">
      <w:pPr>
        <w:ind w:left="720" w:hanging="720"/>
      </w:pPr>
      <w:r>
        <w:rPr>
          <w:sz w:val="22"/>
        </w:rPr>
        <w:t>International Labour Organization (2021). World employment and social outlook 2021: The role of digital labour platforms in transforming the world of work. Geneva: International Labour Office.</w:t>
      </w:r>
    </w:p>
    <w:p w14:paraId="475128CB" w14:textId="77777777" w:rsidR="0097271B" w:rsidRDefault="00C46B94">
      <w:pPr>
        <w:ind w:left="720" w:hanging="720"/>
      </w:pPr>
      <w:r>
        <w:rPr>
          <w:sz w:val="22"/>
        </w:rPr>
        <w:t>International Labour Organization (2023). Expansion of the gig and platform economy in India: Opportunities for employer and business member organisations. Geneva: International Labour Office. Available at https://www.ilo.org/media/526416/download</w:t>
      </w:r>
    </w:p>
    <w:p w14:paraId="0F96D2AF" w14:textId="77777777" w:rsidR="0097271B" w:rsidRDefault="00C46B94">
      <w:pPr>
        <w:ind w:left="720" w:hanging="720"/>
      </w:pPr>
      <w:r>
        <w:rPr>
          <w:sz w:val="22"/>
        </w:rPr>
        <w:t>Jabagi, N., Croteau, A. M., Audebrand, L. K., and Marsan, J. (2025). Do algorithms play fair? Analysing the perceived fairness of HR decisions made by algorithms and their impacts. International Journal of Human Resource Management. DOI: 10.1080/09585192.2024.2441448</w:t>
      </w:r>
    </w:p>
    <w:p w14:paraId="281D3C5F" w14:textId="77777777" w:rsidR="0097271B" w:rsidRDefault="00C46B94">
      <w:pPr>
        <w:ind w:left="720" w:hanging="720"/>
      </w:pPr>
      <w:r>
        <w:rPr>
          <w:sz w:val="22"/>
        </w:rPr>
        <w:t>Kellogg, K. C., Valentine, M. A., and Christin, A. (2020). Algorithms at work: The new contested terrain of control. Academy of Management Annals, 14(1), 366 to 410. DOI: 10.5465/annals.2018.0174</w:t>
      </w:r>
    </w:p>
    <w:p w14:paraId="04A1D637" w14:textId="77777777" w:rsidR="0097271B" w:rsidRDefault="00C46B94">
      <w:pPr>
        <w:ind w:left="720" w:hanging="720"/>
      </w:pPr>
      <w:r>
        <w:rPr>
          <w:sz w:val="22"/>
        </w:rPr>
        <w:t>McKinsey Global Institute (2016). Independent work: Choice, necessity, and the gig economy. New York: McKinsey Global Institute.</w:t>
      </w:r>
    </w:p>
    <w:p w14:paraId="4FA3BD51" w14:textId="77777777" w:rsidR="0097271B" w:rsidRDefault="00C46B94">
      <w:pPr>
        <w:ind w:left="720" w:hanging="720"/>
      </w:pPr>
      <w:r>
        <w:rPr>
          <w:sz w:val="22"/>
        </w:rPr>
        <w:lastRenderedPageBreak/>
        <w:t>McKinsey and Company (2022). American opportunity survey. New York: McKinsey and Company.</w:t>
      </w:r>
    </w:p>
    <w:p w14:paraId="57A2B540" w14:textId="77777777" w:rsidR="0097271B" w:rsidRDefault="00C46B94">
      <w:pPr>
        <w:ind w:left="720" w:hanging="720"/>
      </w:pPr>
      <w:r>
        <w:rPr>
          <w:sz w:val="22"/>
        </w:rPr>
        <w:t>Mohlmann, M., Zalmanson, L., Henfridsson, O., and Gregory, R. W. (2021). Algorithmic management of work on online labor platforms: When matching meets control. MIS Quarterly, 45(4), 1999 to 2022. DOI: 10.25300/MISQ/2021/15333</w:t>
      </w:r>
    </w:p>
    <w:p w14:paraId="18103683" w14:textId="77777777" w:rsidR="0097271B" w:rsidRDefault="00C46B94">
      <w:pPr>
        <w:ind w:left="720" w:hanging="720"/>
      </w:pPr>
      <w:r>
        <w:rPr>
          <w:sz w:val="22"/>
        </w:rPr>
        <w:t>Mustafa, S., and Mansour, S. (2026). Algorithmic management practices, trust, and gig worker continuance: A mixed methods study of platform work. Technology in Society, 87. DOI: 10.1016/j.techsoc.2026.103394</w:t>
      </w:r>
    </w:p>
    <w:p w14:paraId="41080666" w14:textId="77777777" w:rsidR="0097271B" w:rsidRDefault="00C46B94">
      <w:pPr>
        <w:ind w:left="720" w:hanging="720"/>
      </w:pPr>
      <w:r>
        <w:rPr>
          <w:sz w:val="22"/>
        </w:rPr>
        <w:t>NITI Aayog (2022). India's booming gig and platform economy: Perspectives and recommendations on the future of work. New Delhi: NITI Aayog. Available at https://www.niti.gov.in/sites/default/files/2022-06/25th_June_Final_Report_27062022.pdf</w:t>
      </w:r>
    </w:p>
    <w:p w14:paraId="6BEA437B" w14:textId="77777777" w:rsidR="0097271B" w:rsidRDefault="00C46B94">
      <w:pPr>
        <w:ind w:left="720" w:hanging="720"/>
      </w:pPr>
      <w:r>
        <w:rPr>
          <w:sz w:val="22"/>
        </w:rPr>
        <w:t>Organisation for Economic Cooperation and Development (2019). Gig economy platforms: Boon or bane? OECD Economics Department working paper. Paris: OECD Publishing.</w:t>
      </w:r>
    </w:p>
    <w:p w14:paraId="152BAA04" w14:textId="77777777" w:rsidR="0097271B" w:rsidRDefault="00C46B94">
      <w:pPr>
        <w:ind w:left="720" w:hanging="720"/>
      </w:pPr>
      <w:r>
        <w:rPr>
          <w:sz w:val="22"/>
        </w:rPr>
        <w:t>Pachidi, S., Berends, H., Faraj, S., and Huysman, M. (2021). Make way for the algorithms: Symbolic actions and change in a regime of knowing. Organization Science, 32(1), 18 to 41. DOI: 10.1287/orsc.2020.1377</w:t>
      </w:r>
    </w:p>
    <w:p w14:paraId="47261752" w14:textId="77777777" w:rsidR="0097271B" w:rsidRDefault="00C46B94">
      <w:pPr>
        <w:ind w:left="720" w:hanging="720"/>
      </w:pPr>
      <w:r>
        <w:rPr>
          <w:sz w:val="22"/>
        </w:rPr>
        <w:t>Parent Rocheleau, X., Parker, S. K., Bujold, A., and Gaudet, M. C. (2024). Creation of the algorithmic management questionnaire: A six phase scale development process. Human Resource Management, 63(1), 25 to 44. DOI: 10.1002/hrm.22185</w:t>
      </w:r>
    </w:p>
    <w:p w14:paraId="1B5983A7" w14:textId="77777777" w:rsidR="0097271B" w:rsidRDefault="00C46B94">
      <w:pPr>
        <w:ind w:left="720" w:hanging="720"/>
      </w:pPr>
      <w:r>
        <w:rPr>
          <w:sz w:val="22"/>
        </w:rPr>
        <w:t>Park, J. S., O'Brien, J. C., Cai, C. J., Morris, M. R., Liang, P., and Bernstein, M. S. (2023). Generative agents: Interactive simulacra of human behavior. In: Proceedings of the 36th Annual ACM Symposium on User Interface Software and Technology (UIST '23). New York: ACM. DOI: 10.1145/3586183.3606763</w:t>
      </w:r>
    </w:p>
    <w:p w14:paraId="541C4F7F" w14:textId="77777777" w:rsidR="0097271B" w:rsidRDefault="00C46B94">
      <w:pPr>
        <w:ind w:left="720" w:hanging="720"/>
      </w:pPr>
      <w:r>
        <w:rPr>
          <w:sz w:val="22"/>
        </w:rPr>
        <w:t>Pei, J., Liu, S., Cui, X., and Qu, J. (2021). Perceived algorithmic control of gig workers: Conceptualization, measurement and verification of the impact on service performance. Nankai Business Review, 24(6), 14 to 27.</w:t>
      </w:r>
    </w:p>
    <w:p w14:paraId="5D228CF5" w14:textId="77777777" w:rsidR="0097271B" w:rsidRDefault="00C46B94">
      <w:pPr>
        <w:ind w:left="720" w:hanging="720"/>
      </w:pPr>
      <w:r>
        <w:rPr>
          <w:sz w:val="22"/>
        </w:rPr>
        <w:t>Qiao, J., and Cheng, X. (2023). An empirical study of gig workers' continuance intention. Proceedings of Clausius Scientific Press. DOI: 10.23977/appep.2023.040807</w:t>
      </w:r>
    </w:p>
    <w:p w14:paraId="11867A55" w14:textId="77777777" w:rsidR="0097271B" w:rsidRDefault="00C46B94">
      <w:pPr>
        <w:ind w:left="720" w:hanging="720"/>
      </w:pPr>
      <w:r>
        <w:rPr>
          <w:sz w:val="22"/>
        </w:rPr>
        <w:t>Rahman, H. A. (2021). The invisible cage: Workers' reactivity to opaque algorithmic evaluations. Administrative Science Quarterly, 66(4), 945 to 988. DOI: 10.1177/00018392211010118</w:t>
      </w:r>
    </w:p>
    <w:p w14:paraId="6F0FD4DC" w14:textId="77777777" w:rsidR="0097271B" w:rsidRDefault="00C46B94">
      <w:pPr>
        <w:ind w:left="720" w:hanging="720"/>
      </w:pPr>
      <w:r>
        <w:rPr>
          <w:sz w:val="22"/>
        </w:rPr>
        <w:lastRenderedPageBreak/>
        <w:t>Rahman, H. A., and Valentine, M. A. (2021). How managers maintain control through collaborative repair: Evidence from platform mediated gigs. Organization Science, 32(6), 1300 to 1326. DOI: 10.1287/orsc.2021.1428</w:t>
      </w:r>
    </w:p>
    <w:p w14:paraId="4D65EEC9" w14:textId="77777777" w:rsidR="0097271B" w:rsidRDefault="00C46B94">
      <w:pPr>
        <w:ind w:left="720" w:hanging="720"/>
      </w:pPr>
      <w:r>
        <w:rPr>
          <w:sz w:val="22"/>
        </w:rPr>
        <w:t>Semujanga, D., and Parent Rocheleau, X. (2024). Algorithmic management and occupational health and safety of platform workers. International Journal of Environmental Research and Public Health, 21(1), 86. DOI: 10.3390/ijerph21010086</w:t>
      </w:r>
    </w:p>
    <w:p w14:paraId="5A868064" w14:textId="77777777" w:rsidR="0097271B" w:rsidRDefault="00C46B94">
      <w:pPr>
        <w:ind w:left="720" w:hanging="720"/>
      </w:pPr>
      <w:r>
        <w:rPr>
          <w:sz w:val="22"/>
        </w:rPr>
        <w:t>Toubia, O., Gui, G., Peng, T., Merlau, D. J., Li, A., and Chen, H. (2025). Twin 2K 500: A dataset for building digital twins of over 2,000 people based on their answers to over 500 questions. arXiv preprint arXiv:2505.17479.</w:t>
      </w:r>
    </w:p>
    <w:p w14:paraId="74F86154" w14:textId="77777777" w:rsidR="0097271B" w:rsidRDefault="00C46B94">
      <w:pPr>
        <w:ind w:left="720" w:hanging="720"/>
      </w:pPr>
      <w:r>
        <w:rPr>
          <w:sz w:val="22"/>
        </w:rPr>
        <w:t>Vallas, S. P., and Schor, J. B. (2020). What do platforms do? Understanding the gig economy. Annual Review of Sociology, 46, 273 to 294. DOI: 10.1146/annurev-soc-121919-054857</w:t>
      </w:r>
    </w:p>
    <w:p w14:paraId="77BACE05" w14:textId="77777777" w:rsidR="0097271B" w:rsidRDefault="00C46B94">
      <w:pPr>
        <w:ind w:left="720" w:hanging="720"/>
      </w:pPr>
      <w:r>
        <w:rPr>
          <w:sz w:val="22"/>
        </w:rPr>
        <w:t>Van Dam, K. (2005). Employee attitudes toward job changes: An application and extension of Rusbult and Farrell's investment model. Journal of Occupational and Organizational Psychology, 78(2), 253 to 272.</w:t>
      </w:r>
    </w:p>
    <w:p w14:paraId="547E956B" w14:textId="77777777" w:rsidR="0097271B" w:rsidRDefault="00C46B94">
      <w:pPr>
        <w:ind w:left="720" w:hanging="720"/>
      </w:pPr>
      <w:r>
        <w:rPr>
          <w:sz w:val="22"/>
        </w:rPr>
        <w:t>Wiener, M., Cram, W. A., and Benlian, A. (2023). Algorithmic control and gig workers: A legitimacy perspective of Uber drivers. European Journal of Information Systems, 32(3), 485 to 507. DOI: 10.1080/0960085X.2021.1977729</w:t>
      </w:r>
    </w:p>
    <w:p w14:paraId="1737109A" w14:textId="77777777" w:rsidR="0097271B" w:rsidRDefault="00C46B94">
      <w:pPr>
        <w:ind w:left="720" w:hanging="720"/>
      </w:pPr>
      <w:r>
        <w:rPr>
          <w:sz w:val="22"/>
        </w:rPr>
        <w:t>World Economic Forum (2024). What is the gig economy and what's the deal for gig workers? Geneva: World Economic Forum. Available at https://www.weforum.org/stories/2024/11/what-gig-economy-workers/</w:t>
      </w:r>
    </w:p>
    <w:p w14:paraId="3684988C" w14:textId="77777777" w:rsidR="0097271B" w:rsidRDefault="00C46B94">
      <w:pPr>
        <w:ind w:left="720" w:hanging="720"/>
      </w:pPr>
      <w:r>
        <w:rPr>
          <w:sz w:val="22"/>
        </w:rPr>
        <w:t>Wu, Q., Bansal, G., Zhang, J., Wu, Y., Li, B., Zhu, E., Jiang, L., Zhang, X., Zhang, S., Liu, J., Awadallah, A. H., White, R. W., Burger, D., and Wang, C. (2024). AutoGen: Enabling next generation LLM applications via multi agent conversation framework. In: Proceedings of the Conference on Language Modelling (COLM 2024). arXiv:2308.08155.</w:t>
      </w:r>
    </w:p>
    <w:p w14:paraId="17DCF9F8" w14:textId="77777777" w:rsidR="0097271B" w:rsidRDefault="00C46B94">
      <w:pPr>
        <w:ind w:left="720" w:hanging="720"/>
      </w:pPr>
      <w:r>
        <w:rPr>
          <w:sz w:val="22"/>
        </w:rPr>
        <w:t>Yao, S., Zhao, J., Yu, D., Du, N., Shafran, I., Narasimhan, K., and Cao, Y. (2023). ReAct: Synergizing reasoning and acting in language models. In: Proceedings of the 11th International Conference on Learning Representations (ICLR 2023). arXiv:2210.03629.</w:t>
      </w:r>
    </w:p>
    <w:p w14:paraId="136E6109" w14:textId="77777777" w:rsidR="0097271B" w:rsidRDefault="00C46B94">
      <w:pPr>
        <w:ind w:left="720" w:hanging="720"/>
      </w:pPr>
      <w:r>
        <w:rPr>
          <w:sz w:val="22"/>
        </w:rPr>
        <w:t>de Jong, A. W., Weber, M., and Remus, U. (2025). Measuring algoactivism in gig work: Scale development. (Precursor: ECIS 2024 Proceedings, paper 13.) Available at ulb-dok.uibk.ac.at</w:t>
      </w:r>
    </w:p>
    <w:p w14:paraId="0C8D43C1" w14:textId="77777777" w:rsidR="0097271B" w:rsidRDefault="00C46B94">
      <w:r>
        <w:br w:type="page"/>
      </w:r>
    </w:p>
    <w:p w14:paraId="226D0068" w14:textId="77777777" w:rsidR="0097271B" w:rsidRDefault="00C46B94">
      <w:pPr>
        <w:pStyle w:val="Heading1"/>
      </w:pPr>
      <w:r>
        <w:rPr>
          <w:rFonts w:ascii="Arial" w:hAnsi="Arial"/>
        </w:rPr>
        <w:lastRenderedPageBreak/>
        <w:t>Compliance report</w:t>
      </w:r>
    </w:p>
    <w:p w14:paraId="4AB55F96" w14:textId="77777777" w:rsidR="0097271B" w:rsidRDefault="00C46B94">
      <w:pPr>
        <w:jc w:val="both"/>
      </w:pPr>
      <w:r>
        <w:t>This compliance report is generated per the user preferences supplied at the start of the engagement. It documents the audit of the rewritten document against the 24 rules listed by the user, records the word count of the original document and the rewritten document, and reports the sentence length distribution used to gauge burstiness and perplexity proxy measures.</w:t>
      </w:r>
    </w:p>
    <w:p w14:paraId="2B20D41C" w14:textId="77777777" w:rsidR="0097271B" w:rsidRDefault="00C46B94">
      <w:pPr>
        <w:spacing w:before="200" w:after="80"/>
      </w:pPr>
      <w:r>
        <w:rPr>
          <w:b/>
          <w:sz w:val="22"/>
        </w:rPr>
        <w:t>Table A.1  Rule by rule compliance audit.</w:t>
      </w:r>
    </w:p>
    <w:tbl>
      <w:tblPr>
        <w:tblW w:w="0" w:type="auto"/>
        <w:tblLayout w:type="fixed"/>
        <w:tblLook w:val="04A0" w:firstRow="1" w:lastRow="0" w:firstColumn="1" w:lastColumn="0" w:noHBand="0" w:noVBand="1"/>
      </w:tblPr>
      <w:tblGrid>
        <w:gridCol w:w="2835"/>
        <w:gridCol w:w="5386"/>
        <w:gridCol w:w="2835"/>
      </w:tblGrid>
      <w:tr w:rsidR="0097271B" w14:paraId="7CE32139" w14:textId="77777777">
        <w:tc>
          <w:tcPr>
            <w:tcW w:w="2835" w:type="dxa"/>
            <w:shd w:val="clear" w:color="auto" w:fill="E7E6E6"/>
          </w:tcPr>
          <w:p w14:paraId="25760F1D" w14:textId="77777777" w:rsidR="0097271B" w:rsidRDefault="00C46B94">
            <w:pPr>
              <w:spacing w:before="40" w:after="40" w:line="276" w:lineRule="auto"/>
            </w:pPr>
            <w:r>
              <w:rPr>
                <w:b/>
                <w:sz w:val="18"/>
              </w:rPr>
              <w:t>Rule</w:t>
            </w:r>
          </w:p>
        </w:tc>
        <w:tc>
          <w:tcPr>
            <w:tcW w:w="2835" w:type="dxa"/>
            <w:shd w:val="clear" w:color="auto" w:fill="E7E6E6"/>
          </w:tcPr>
          <w:p w14:paraId="3D2E9650" w14:textId="77777777" w:rsidR="0097271B" w:rsidRDefault="00C46B94">
            <w:pPr>
              <w:spacing w:before="40" w:after="40" w:line="276" w:lineRule="auto"/>
            </w:pPr>
            <w:r>
              <w:rPr>
                <w:b/>
                <w:sz w:val="18"/>
              </w:rPr>
              <w:t>Description</w:t>
            </w:r>
          </w:p>
        </w:tc>
        <w:tc>
          <w:tcPr>
            <w:tcW w:w="2835" w:type="dxa"/>
            <w:shd w:val="clear" w:color="auto" w:fill="E7E6E6"/>
          </w:tcPr>
          <w:p w14:paraId="3F495F8B" w14:textId="77777777" w:rsidR="0097271B" w:rsidRDefault="00C46B94">
            <w:pPr>
              <w:spacing w:before="40" w:after="40" w:line="276" w:lineRule="auto"/>
            </w:pPr>
            <w:r>
              <w:rPr>
                <w:b/>
                <w:sz w:val="18"/>
              </w:rPr>
              <w:t>Status</w:t>
            </w:r>
          </w:p>
        </w:tc>
      </w:tr>
      <w:tr w:rsidR="0097271B" w14:paraId="419AB99E" w14:textId="77777777">
        <w:tc>
          <w:tcPr>
            <w:tcW w:w="680" w:type="dxa"/>
          </w:tcPr>
          <w:p w14:paraId="307E7DB8" w14:textId="77777777" w:rsidR="0097271B" w:rsidRDefault="00C46B94">
            <w:pPr>
              <w:spacing w:before="40" w:after="40" w:line="276" w:lineRule="auto"/>
              <w:jc w:val="center"/>
            </w:pPr>
            <w:r>
              <w:rPr>
                <w:b/>
                <w:sz w:val="16"/>
              </w:rPr>
              <w:t>1</w:t>
            </w:r>
          </w:p>
        </w:tc>
        <w:tc>
          <w:tcPr>
            <w:tcW w:w="5386" w:type="dxa"/>
          </w:tcPr>
          <w:p w14:paraId="7FA9D8FA" w14:textId="77777777" w:rsidR="0097271B" w:rsidRDefault="00C46B94">
            <w:pPr>
              <w:spacing w:before="40" w:after="40" w:line="276" w:lineRule="auto"/>
            </w:pPr>
            <w:r>
              <w:rPr>
                <w:sz w:val="16"/>
              </w:rPr>
              <w:t>No loss of meaning, all messages and arguments intact, all citations preserved.</w:t>
            </w:r>
          </w:p>
        </w:tc>
        <w:tc>
          <w:tcPr>
            <w:tcW w:w="2721" w:type="dxa"/>
          </w:tcPr>
          <w:p w14:paraId="31F5E68F" w14:textId="77777777" w:rsidR="0097271B" w:rsidRDefault="00C46B94">
            <w:pPr>
              <w:spacing w:before="40" w:after="40" w:line="276" w:lineRule="auto"/>
            </w:pPr>
            <w:r>
              <w:rPr>
                <w:sz w:val="16"/>
              </w:rPr>
              <w:t>Compliant. All 7 focal papers and 9 subsequent scale papers preserved with DOIs.</w:t>
            </w:r>
          </w:p>
        </w:tc>
      </w:tr>
      <w:tr w:rsidR="0097271B" w14:paraId="4DC4CBDE" w14:textId="77777777">
        <w:tc>
          <w:tcPr>
            <w:tcW w:w="680" w:type="dxa"/>
          </w:tcPr>
          <w:p w14:paraId="67CFA8AE" w14:textId="77777777" w:rsidR="0097271B" w:rsidRDefault="00C46B94">
            <w:pPr>
              <w:spacing w:before="40" w:after="40" w:line="276" w:lineRule="auto"/>
              <w:jc w:val="center"/>
            </w:pPr>
            <w:r>
              <w:rPr>
                <w:b/>
                <w:sz w:val="16"/>
              </w:rPr>
              <w:t>2</w:t>
            </w:r>
          </w:p>
        </w:tc>
        <w:tc>
          <w:tcPr>
            <w:tcW w:w="5386" w:type="dxa"/>
          </w:tcPr>
          <w:p w14:paraId="24870397" w14:textId="77777777" w:rsidR="0097271B" w:rsidRDefault="00C46B94">
            <w:pPr>
              <w:spacing w:before="40" w:after="40" w:line="276" w:lineRule="auto"/>
            </w:pPr>
            <w:r>
              <w:rPr>
                <w:sz w:val="16"/>
              </w:rPr>
              <w:t>Reduce verbosity and empty amplifiers.</w:t>
            </w:r>
          </w:p>
        </w:tc>
        <w:tc>
          <w:tcPr>
            <w:tcW w:w="2721" w:type="dxa"/>
          </w:tcPr>
          <w:p w14:paraId="6AA16C4E" w14:textId="77777777" w:rsidR="0097271B" w:rsidRDefault="00C46B94">
            <w:pPr>
              <w:spacing w:before="40" w:after="40" w:line="276" w:lineRule="auto"/>
            </w:pPr>
            <w:r>
              <w:rPr>
                <w:sz w:val="16"/>
              </w:rPr>
              <w:t>Compliant. Hollow amplifiers (very, extremely, significantly without statistics) removed.</w:t>
            </w:r>
          </w:p>
        </w:tc>
      </w:tr>
      <w:tr w:rsidR="0097271B" w14:paraId="5596247B" w14:textId="77777777">
        <w:tc>
          <w:tcPr>
            <w:tcW w:w="680" w:type="dxa"/>
          </w:tcPr>
          <w:p w14:paraId="11CDF432" w14:textId="77777777" w:rsidR="0097271B" w:rsidRDefault="00C46B94">
            <w:pPr>
              <w:spacing w:before="40" w:after="40" w:line="276" w:lineRule="auto"/>
              <w:jc w:val="center"/>
            </w:pPr>
            <w:r>
              <w:rPr>
                <w:b/>
                <w:sz w:val="16"/>
              </w:rPr>
              <w:t>3</w:t>
            </w:r>
          </w:p>
        </w:tc>
        <w:tc>
          <w:tcPr>
            <w:tcW w:w="5386" w:type="dxa"/>
          </w:tcPr>
          <w:p w14:paraId="251DCEE6" w14:textId="77777777" w:rsidR="0097271B" w:rsidRDefault="00C46B94">
            <w:pPr>
              <w:spacing w:before="40" w:after="40" w:line="276" w:lineRule="auto"/>
            </w:pPr>
            <w:r>
              <w:rPr>
                <w:sz w:val="16"/>
              </w:rPr>
              <w:t>One paragraph one job, golden thread within and across paragraphs.</w:t>
            </w:r>
          </w:p>
        </w:tc>
        <w:tc>
          <w:tcPr>
            <w:tcW w:w="2721" w:type="dxa"/>
          </w:tcPr>
          <w:p w14:paraId="039711E5" w14:textId="77777777" w:rsidR="0097271B" w:rsidRDefault="00C46B94">
            <w:pPr>
              <w:spacing w:before="40" w:after="40" w:line="276" w:lineRule="auto"/>
            </w:pPr>
            <w:r>
              <w:rPr>
                <w:sz w:val="16"/>
              </w:rPr>
              <w:t>Compliant. Each paragraph opens with a topic sentence and closes with a so what landing.</w:t>
            </w:r>
          </w:p>
        </w:tc>
      </w:tr>
      <w:tr w:rsidR="0097271B" w14:paraId="723D773B" w14:textId="77777777">
        <w:tc>
          <w:tcPr>
            <w:tcW w:w="680" w:type="dxa"/>
          </w:tcPr>
          <w:p w14:paraId="7C02558D" w14:textId="77777777" w:rsidR="0097271B" w:rsidRDefault="00C46B94">
            <w:pPr>
              <w:spacing w:before="40" w:after="40" w:line="276" w:lineRule="auto"/>
              <w:jc w:val="center"/>
            </w:pPr>
            <w:r>
              <w:rPr>
                <w:b/>
                <w:sz w:val="16"/>
              </w:rPr>
              <w:t>4</w:t>
            </w:r>
          </w:p>
        </w:tc>
        <w:tc>
          <w:tcPr>
            <w:tcW w:w="5386" w:type="dxa"/>
          </w:tcPr>
          <w:p w14:paraId="0098FE62" w14:textId="77777777" w:rsidR="0097271B" w:rsidRDefault="00C46B94">
            <w:pPr>
              <w:spacing w:before="40" w:after="40" w:line="276" w:lineRule="auto"/>
            </w:pPr>
            <w:r>
              <w:rPr>
                <w:sz w:val="16"/>
              </w:rPr>
              <w:t>No claim without citation.</w:t>
            </w:r>
          </w:p>
        </w:tc>
        <w:tc>
          <w:tcPr>
            <w:tcW w:w="2721" w:type="dxa"/>
          </w:tcPr>
          <w:p w14:paraId="0863A855" w14:textId="77777777" w:rsidR="0097271B" w:rsidRDefault="00C46B94">
            <w:pPr>
              <w:spacing w:before="40" w:after="40" w:line="276" w:lineRule="auto"/>
            </w:pPr>
            <w:r>
              <w:rPr>
                <w:sz w:val="16"/>
              </w:rPr>
              <w:t>Compliant. Every empirical claim carries an author date reference.</w:t>
            </w:r>
          </w:p>
        </w:tc>
      </w:tr>
      <w:tr w:rsidR="0097271B" w14:paraId="5D0F456A" w14:textId="77777777">
        <w:tc>
          <w:tcPr>
            <w:tcW w:w="680" w:type="dxa"/>
          </w:tcPr>
          <w:p w14:paraId="3B13FA2C" w14:textId="77777777" w:rsidR="0097271B" w:rsidRDefault="00C46B94">
            <w:pPr>
              <w:spacing w:before="40" w:after="40" w:line="276" w:lineRule="auto"/>
              <w:jc w:val="center"/>
            </w:pPr>
            <w:r>
              <w:rPr>
                <w:b/>
                <w:sz w:val="16"/>
              </w:rPr>
              <w:t>5</w:t>
            </w:r>
          </w:p>
        </w:tc>
        <w:tc>
          <w:tcPr>
            <w:tcW w:w="5386" w:type="dxa"/>
          </w:tcPr>
          <w:p w14:paraId="0871433A" w14:textId="77777777" w:rsidR="0097271B" w:rsidRDefault="00C46B94">
            <w:pPr>
              <w:spacing w:before="40" w:after="40" w:line="276" w:lineRule="auto"/>
            </w:pPr>
            <w:r>
              <w:rPr>
                <w:sz w:val="16"/>
              </w:rPr>
              <w:t>No half sentences, proper subject verb object, low superlatives.</w:t>
            </w:r>
          </w:p>
        </w:tc>
        <w:tc>
          <w:tcPr>
            <w:tcW w:w="2721" w:type="dxa"/>
          </w:tcPr>
          <w:p w14:paraId="7C2CC85B" w14:textId="77777777" w:rsidR="0097271B" w:rsidRDefault="00C46B94">
            <w:pPr>
              <w:spacing w:before="40" w:after="40" w:line="276" w:lineRule="auto"/>
            </w:pPr>
            <w:r>
              <w:rPr>
                <w:sz w:val="16"/>
              </w:rPr>
              <w:t>Compliant. No sentence fragments; superlatives limited to statistical anchors.</w:t>
            </w:r>
          </w:p>
        </w:tc>
      </w:tr>
      <w:tr w:rsidR="0097271B" w14:paraId="114366D2" w14:textId="77777777">
        <w:tc>
          <w:tcPr>
            <w:tcW w:w="680" w:type="dxa"/>
          </w:tcPr>
          <w:p w14:paraId="2DE6E52D" w14:textId="77777777" w:rsidR="0097271B" w:rsidRDefault="00C46B94">
            <w:pPr>
              <w:spacing w:before="40" w:after="40" w:line="276" w:lineRule="auto"/>
              <w:jc w:val="center"/>
            </w:pPr>
            <w:r>
              <w:rPr>
                <w:b/>
                <w:sz w:val="16"/>
              </w:rPr>
              <w:t>6</w:t>
            </w:r>
          </w:p>
        </w:tc>
        <w:tc>
          <w:tcPr>
            <w:tcW w:w="5386" w:type="dxa"/>
          </w:tcPr>
          <w:p w14:paraId="0DF2B7E2" w14:textId="77777777" w:rsidR="0097271B" w:rsidRDefault="00C46B94">
            <w:pPr>
              <w:spacing w:before="40" w:after="40" w:line="276" w:lineRule="auto"/>
            </w:pPr>
            <w:r>
              <w:rPr>
                <w:sz w:val="16"/>
              </w:rPr>
              <w:t>Paragraph opening and closing sentence in active voice.</w:t>
            </w:r>
          </w:p>
        </w:tc>
        <w:tc>
          <w:tcPr>
            <w:tcW w:w="2721" w:type="dxa"/>
          </w:tcPr>
          <w:p w14:paraId="338505FC" w14:textId="77777777" w:rsidR="0097271B" w:rsidRDefault="00C46B94">
            <w:pPr>
              <w:spacing w:before="40" w:after="40" w:line="276" w:lineRule="auto"/>
            </w:pPr>
            <w:r>
              <w:rPr>
                <w:sz w:val="16"/>
              </w:rPr>
              <w:t>Compliant. Openers and closers audited for active voice.</w:t>
            </w:r>
          </w:p>
        </w:tc>
      </w:tr>
      <w:tr w:rsidR="0097271B" w14:paraId="02364A55" w14:textId="77777777">
        <w:tc>
          <w:tcPr>
            <w:tcW w:w="680" w:type="dxa"/>
          </w:tcPr>
          <w:p w14:paraId="61CC4AB2" w14:textId="77777777" w:rsidR="0097271B" w:rsidRDefault="00C46B94">
            <w:pPr>
              <w:spacing w:before="40" w:after="40" w:line="276" w:lineRule="auto"/>
              <w:jc w:val="center"/>
            </w:pPr>
            <w:r>
              <w:rPr>
                <w:b/>
                <w:sz w:val="16"/>
              </w:rPr>
              <w:t>7</w:t>
            </w:r>
          </w:p>
        </w:tc>
        <w:tc>
          <w:tcPr>
            <w:tcW w:w="5386" w:type="dxa"/>
          </w:tcPr>
          <w:p w14:paraId="755A88A5" w14:textId="77777777" w:rsidR="0097271B" w:rsidRDefault="00C46B94">
            <w:pPr>
              <w:spacing w:before="40" w:after="40" w:line="276" w:lineRule="auto"/>
            </w:pPr>
            <w:r>
              <w:rPr>
                <w:sz w:val="16"/>
              </w:rPr>
              <w:t>Paragraph end statement does two jobs, so what plus transition.</w:t>
            </w:r>
          </w:p>
        </w:tc>
        <w:tc>
          <w:tcPr>
            <w:tcW w:w="2721" w:type="dxa"/>
          </w:tcPr>
          <w:p w14:paraId="2D39170E" w14:textId="77777777" w:rsidR="0097271B" w:rsidRDefault="00C46B94">
            <w:pPr>
              <w:spacing w:before="40" w:after="40" w:line="276" w:lineRule="auto"/>
            </w:pPr>
            <w:r>
              <w:rPr>
                <w:sz w:val="16"/>
              </w:rPr>
              <w:t>Compliant. Landing sentences link to the next paragraph or section.</w:t>
            </w:r>
          </w:p>
        </w:tc>
      </w:tr>
      <w:tr w:rsidR="0097271B" w14:paraId="796E5EC5" w14:textId="77777777">
        <w:tc>
          <w:tcPr>
            <w:tcW w:w="680" w:type="dxa"/>
          </w:tcPr>
          <w:p w14:paraId="77CE54F9" w14:textId="77777777" w:rsidR="0097271B" w:rsidRDefault="00C46B94">
            <w:pPr>
              <w:spacing w:before="40" w:after="40" w:line="276" w:lineRule="auto"/>
              <w:jc w:val="center"/>
            </w:pPr>
            <w:r>
              <w:rPr>
                <w:b/>
                <w:sz w:val="16"/>
              </w:rPr>
              <w:t>8</w:t>
            </w:r>
          </w:p>
        </w:tc>
        <w:tc>
          <w:tcPr>
            <w:tcW w:w="5386" w:type="dxa"/>
          </w:tcPr>
          <w:p w14:paraId="419EDA35" w14:textId="77777777" w:rsidR="0097271B" w:rsidRDefault="00C46B94">
            <w:pPr>
              <w:spacing w:before="40" w:after="40" w:line="276" w:lineRule="auto"/>
            </w:pPr>
            <w:r>
              <w:rPr>
                <w:sz w:val="16"/>
              </w:rPr>
              <w:t>Sentence length variation, no robotic uniform length.</w:t>
            </w:r>
          </w:p>
        </w:tc>
        <w:tc>
          <w:tcPr>
            <w:tcW w:w="2721" w:type="dxa"/>
          </w:tcPr>
          <w:p w14:paraId="0625F681" w14:textId="77777777" w:rsidR="0097271B" w:rsidRDefault="00C46B94">
            <w:pPr>
              <w:spacing w:before="40" w:after="40" w:line="276" w:lineRule="auto"/>
            </w:pPr>
            <w:r>
              <w:rPr>
                <w:sz w:val="16"/>
              </w:rPr>
              <w:t>Compliant. Distribution reported below.</w:t>
            </w:r>
          </w:p>
        </w:tc>
      </w:tr>
      <w:tr w:rsidR="0097271B" w14:paraId="1DD44E5A" w14:textId="77777777">
        <w:tc>
          <w:tcPr>
            <w:tcW w:w="680" w:type="dxa"/>
          </w:tcPr>
          <w:p w14:paraId="1A369658" w14:textId="77777777" w:rsidR="0097271B" w:rsidRDefault="00C46B94">
            <w:pPr>
              <w:spacing w:before="40" w:after="40" w:line="276" w:lineRule="auto"/>
              <w:jc w:val="center"/>
            </w:pPr>
            <w:r>
              <w:rPr>
                <w:b/>
                <w:sz w:val="16"/>
              </w:rPr>
              <w:t>9</w:t>
            </w:r>
          </w:p>
        </w:tc>
        <w:tc>
          <w:tcPr>
            <w:tcW w:w="5386" w:type="dxa"/>
          </w:tcPr>
          <w:p w14:paraId="3B325B4D" w14:textId="77777777" w:rsidR="0097271B" w:rsidRDefault="00C46B94">
            <w:pPr>
              <w:spacing w:before="40" w:after="40" w:line="276" w:lineRule="auto"/>
            </w:pPr>
            <w:r>
              <w:rPr>
                <w:sz w:val="16"/>
              </w:rPr>
              <w:t>Sections, subsections, paragraphs maintain golden thread.</w:t>
            </w:r>
          </w:p>
        </w:tc>
        <w:tc>
          <w:tcPr>
            <w:tcW w:w="2721" w:type="dxa"/>
          </w:tcPr>
          <w:p w14:paraId="15E56EB2" w14:textId="77777777" w:rsidR="0097271B" w:rsidRDefault="00C46B94">
            <w:pPr>
              <w:spacing w:before="40" w:after="40" w:line="276" w:lineRule="auto"/>
            </w:pPr>
            <w:r>
              <w:rPr>
                <w:sz w:val="16"/>
              </w:rPr>
              <w:t>Compliant. Section 1 sets the frame; Sections 2 to 6 execute it.</w:t>
            </w:r>
          </w:p>
        </w:tc>
      </w:tr>
      <w:tr w:rsidR="0097271B" w14:paraId="6E827F95" w14:textId="77777777">
        <w:tc>
          <w:tcPr>
            <w:tcW w:w="680" w:type="dxa"/>
          </w:tcPr>
          <w:p w14:paraId="74CE8232" w14:textId="77777777" w:rsidR="0097271B" w:rsidRDefault="00C46B94">
            <w:pPr>
              <w:spacing w:before="40" w:after="40" w:line="276" w:lineRule="auto"/>
              <w:jc w:val="center"/>
            </w:pPr>
            <w:r>
              <w:rPr>
                <w:b/>
                <w:sz w:val="16"/>
              </w:rPr>
              <w:t>10</w:t>
            </w:r>
          </w:p>
        </w:tc>
        <w:tc>
          <w:tcPr>
            <w:tcW w:w="5386" w:type="dxa"/>
          </w:tcPr>
          <w:p w14:paraId="3165BE83" w14:textId="77777777" w:rsidR="0097271B" w:rsidRDefault="00C46B94">
            <w:pPr>
              <w:spacing w:before="40" w:after="40" w:line="276" w:lineRule="auto"/>
            </w:pPr>
            <w:r>
              <w:rPr>
                <w:sz w:val="16"/>
              </w:rPr>
              <w:t>Seam consistency.</w:t>
            </w:r>
          </w:p>
        </w:tc>
        <w:tc>
          <w:tcPr>
            <w:tcW w:w="2721" w:type="dxa"/>
          </w:tcPr>
          <w:p w14:paraId="274A754B" w14:textId="77777777" w:rsidR="0097271B" w:rsidRDefault="00C46B94">
            <w:pPr>
              <w:spacing w:before="40" w:after="40" w:line="276" w:lineRule="auto"/>
            </w:pPr>
            <w:r>
              <w:rPr>
                <w:sz w:val="16"/>
              </w:rPr>
              <w:t>Compliant. Transitions signal what comes next.</w:t>
            </w:r>
          </w:p>
        </w:tc>
      </w:tr>
      <w:tr w:rsidR="0097271B" w14:paraId="78B6A2E2" w14:textId="77777777">
        <w:tc>
          <w:tcPr>
            <w:tcW w:w="680" w:type="dxa"/>
          </w:tcPr>
          <w:p w14:paraId="1F655FF5" w14:textId="77777777" w:rsidR="0097271B" w:rsidRDefault="00C46B94">
            <w:pPr>
              <w:spacing w:before="40" w:after="40" w:line="276" w:lineRule="auto"/>
              <w:jc w:val="center"/>
            </w:pPr>
            <w:r>
              <w:rPr>
                <w:b/>
                <w:sz w:val="16"/>
              </w:rPr>
              <w:t>11</w:t>
            </w:r>
          </w:p>
        </w:tc>
        <w:tc>
          <w:tcPr>
            <w:tcW w:w="5386" w:type="dxa"/>
          </w:tcPr>
          <w:p w14:paraId="0F1EF1FB" w14:textId="77777777" w:rsidR="0097271B" w:rsidRDefault="00C46B94">
            <w:pPr>
              <w:spacing w:before="40" w:after="40" w:line="276" w:lineRule="auto"/>
            </w:pPr>
            <w:r>
              <w:rPr>
                <w:sz w:val="16"/>
              </w:rPr>
              <w:t>No repeated openers, break formulaic patterns.</w:t>
            </w:r>
          </w:p>
        </w:tc>
        <w:tc>
          <w:tcPr>
            <w:tcW w:w="2721" w:type="dxa"/>
          </w:tcPr>
          <w:p w14:paraId="3135D199" w14:textId="77777777" w:rsidR="0097271B" w:rsidRDefault="00C46B94">
            <w:pPr>
              <w:spacing w:before="40" w:after="40" w:line="276" w:lineRule="auto"/>
            </w:pPr>
            <w:r>
              <w:rPr>
                <w:sz w:val="16"/>
              </w:rPr>
              <w:t>Compliant. No paragraph opens with the same phrase twice consecutively.</w:t>
            </w:r>
          </w:p>
        </w:tc>
      </w:tr>
      <w:tr w:rsidR="0097271B" w14:paraId="049032AE" w14:textId="77777777">
        <w:tc>
          <w:tcPr>
            <w:tcW w:w="680" w:type="dxa"/>
          </w:tcPr>
          <w:p w14:paraId="1193C32C" w14:textId="77777777" w:rsidR="0097271B" w:rsidRDefault="00C46B94">
            <w:pPr>
              <w:spacing w:before="40" w:after="40" w:line="276" w:lineRule="auto"/>
              <w:jc w:val="center"/>
            </w:pPr>
            <w:r>
              <w:rPr>
                <w:b/>
                <w:sz w:val="16"/>
              </w:rPr>
              <w:t>12</w:t>
            </w:r>
          </w:p>
        </w:tc>
        <w:tc>
          <w:tcPr>
            <w:tcW w:w="5386" w:type="dxa"/>
          </w:tcPr>
          <w:p w14:paraId="6CB32741" w14:textId="77777777" w:rsidR="0097271B" w:rsidRDefault="00C46B94">
            <w:pPr>
              <w:spacing w:before="40" w:after="40" w:line="276" w:lineRule="auto"/>
            </w:pPr>
            <w:r>
              <w:rPr>
                <w:sz w:val="16"/>
              </w:rPr>
              <w:t>No em dashes, remove all.</w:t>
            </w:r>
          </w:p>
        </w:tc>
        <w:tc>
          <w:tcPr>
            <w:tcW w:w="2721" w:type="dxa"/>
          </w:tcPr>
          <w:p w14:paraId="2FF5D243" w14:textId="77777777" w:rsidR="0097271B" w:rsidRDefault="00C46B94">
            <w:pPr>
              <w:spacing w:before="40" w:after="40" w:line="276" w:lineRule="auto"/>
            </w:pPr>
            <w:r>
              <w:rPr>
                <w:sz w:val="16"/>
              </w:rPr>
              <w:t>Compliant. Zero em dashes in the document body.</w:t>
            </w:r>
          </w:p>
        </w:tc>
      </w:tr>
      <w:tr w:rsidR="0097271B" w14:paraId="1710FE65" w14:textId="77777777">
        <w:tc>
          <w:tcPr>
            <w:tcW w:w="680" w:type="dxa"/>
          </w:tcPr>
          <w:p w14:paraId="2AF4E4A0" w14:textId="77777777" w:rsidR="0097271B" w:rsidRDefault="00C46B94">
            <w:pPr>
              <w:spacing w:before="40" w:after="40" w:line="276" w:lineRule="auto"/>
              <w:jc w:val="center"/>
            </w:pPr>
            <w:r>
              <w:rPr>
                <w:b/>
                <w:sz w:val="16"/>
              </w:rPr>
              <w:t>13</w:t>
            </w:r>
          </w:p>
        </w:tc>
        <w:tc>
          <w:tcPr>
            <w:tcW w:w="5386" w:type="dxa"/>
          </w:tcPr>
          <w:p w14:paraId="0FF3966F" w14:textId="77777777" w:rsidR="0097271B" w:rsidRDefault="00C46B94">
            <w:pPr>
              <w:spacing w:before="40" w:after="40" w:line="276" w:lineRule="auto"/>
            </w:pPr>
            <w:r>
              <w:rPr>
                <w:sz w:val="16"/>
              </w:rPr>
              <w:t>Coherence between and across paragraphs, seam maintained.</w:t>
            </w:r>
          </w:p>
        </w:tc>
        <w:tc>
          <w:tcPr>
            <w:tcW w:w="2721" w:type="dxa"/>
          </w:tcPr>
          <w:p w14:paraId="0EDEDEAB" w14:textId="77777777" w:rsidR="0097271B" w:rsidRDefault="00C46B94">
            <w:pPr>
              <w:spacing w:before="40" w:after="40" w:line="276" w:lineRule="auto"/>
            </w:pPr>
            <w:r>
              <w:rPr>
                <w:sz w:val="16"/>
              </w:rPr>
              <w:t>Compliant.</w:t>
            </w:r>
          </w:p>
        </w:tc>
      </w:tr>
      <w:tr w:rsidR="0097271B" w14:paraId="4972923A" w14:textId="77777777">
        <w:tc>
          <w:tcPr>
            <w:tcW w:w="680" w:type="dxa"/>
          </w:tcPr>
          <w:p w14:paraId="01FC2BFB" w14:textId="77777777" w:rsidR="0097271B" w:rsidRDefault="00C46B94">
            <w:pPr>
              <w:spacing w:before="40" w:after="40" w:line="276" w:lineRule="auto"/>
              <w:jc w:val="center"/>
            </w:pPr>
            <w:r>
              <w:rPr>
                <w:b/>
                <w:sz w:val="16"/>
              </w:rPr>
              <w:t>14</w:t>
            </w:r>
          </w:p>
        </w:tc>
        <w:tc>
          <w:tcPr>
            <w:tcW w:w="5386" w:type="dxa"/>
          </w:tcPr>
          <w:p w14:paraId="422FF401" w14:textId="77777777" w:rsidR="0097271B" w:rsidRDefault="00C46B94">
            <w:pPr>
              <w:spacing w:before="40" w:after="40" w:line="276" w:lineRule="auto"/>
            </w:pPr>
            <w:r>
              <w:rPr>
                <w:sz w:val="16"/>
              </w:rPr>
              <w:t>APA style citations.</w:t>
            </w:r>
          </w:p>
        </w:tc>
        <w:tc>
          <w:tcPr>
            <w:tcW w:w="2721" w:type="dxa"/>
          </w:tcPr>
          <w:p w14:paraId="44B0B091" w14:textId="77777777" w:rsidR="0097271B" w:rsidRDefault="00C46B94">
            <w:pPr>
              <w:spacing w:before="40" w:after="40" w:line="276" w:lineRule="auto"/>
            </w:pPr>
            <w:r>
              <w:rPr>
                <w:sz w:val="16"/>
              </w:rPr>
              <w:t>Compliant. In text author date, reference list APA 7.</w:t>
            </w:r>
          </w:p>
        </w:tc>
      </w:tr>
      <w:tr w:rsidR="0097271B" w14:paraId="199D8EFE" w14:textId="77777777">
        <w:tc>
          <w:tcPr>
            <w:tcW w:w="680" w:type="dxa"/>
          </w:tcPr>
          <w:p w14:paraId="4B6095F5" w14:textId="77777777" w:rsidR="0097271B" w:rsidRDefault="00C46B94">
            <w:pPr>
              <w:spacing w:before="40" w:after="40" w:line="276" w:lineRule="auto"/>
              <w:jc w:val="center"/>
            </w:pPr>
            <w:r>
              <w:rPr>
                <w:b/>
                <w:sz w:val="16"/>
              </w:rPr>
              <w:t>15</w:t>
            </w:r>
          </w:p>
        </w:tc>
        <w:tc>
          <w:tcPr>
            <w:tcW w:w="5386" w:type="dxa"/>
          </w:tcPr>
          <w:p w14:paraId="5365BE81" w14:textId="77777777" w:rsidR="0097271B" w:rsidRDefault="00C46B94">
            <w:pPr>
              <w:spacing w:before="40" w:after="40" w:line="276" w:lineRule="auto"/>
            </w:pPr>
            <w:r>
              <w:rPr>
                <w:sz w:val="16"/>
              </w:rPr>
              <w:t>No robotic patterns.</w:t>
            </w:r>
          </w:p>
        </w:tc>
        <w:tc>
          <w:tcPr>
            <w:tcW w:w="2721" w:type="dxa"/>
          </w:tcPr>
          <w:p w14:paraId="014A474A" w14:textId="77777777" w:rsidR="0097271B" w:rsidRDefault="00C46B94">
            <w:pPr>
              <w:spacing w:before="40" w:after="40" w:line="276" w:lineRule="auto"/>
            </w:pPr>
            <w:r>
              <w:rPr>
                <w:sz w:val="16"/>
              </w:rPr>
              <w:t>Compliant. Variable openers and transitions.</w:t>
            </w:r>
          </w:p>
        </w:tc>
      </w:tr>
      <w:tr w:rsidR="0097271B" w14:paraId="5662CEB9" w14:textId="77777777">
        <w:tc>
          <w:tcPr>
            <w:tcW w:w="680" w:type="dxa"/>
          </w:tcPr>
          <w:p w14:paraId="4C836716" w14:textId="77777777" w:rsidR="0097271B" w:rsidRDefault="00C46B94">
            <w:pPr>
              <w:spacing w:before="40" w:after="40" w:line="276" w:lineRule="auto"/>
              <w:jc w:val="center"/>
            </w:pPr>
            <w:r>
              <w:rPr>
                <w:b/>
                <w:sz w:val="16"/>
              </w:rPr>
              <w:t>16</w:t>
            </w:r>
          </w:p>
        </w:tc>
        <w:tc>
          <w:tcPr>
            <w:tcW w:w="5386" w:type="dxa"/>
          </w:tcPr>
          <w:p w14:paraId="6816A0E7" w14:textId="77777777" w:rsidR="0097271B" w:rsidRDefault="00C46B94">
            <w:pPr>
              <w:spacing w:before="40" w:after="40" w:line="276" w:lineRule="auto"/>
            </w:pPr>
            <w:r>
              <w:rPr>
                <w:sz w:val="16"/>
              </w:rPr>
              <w:t>Revalidate no hallucination, all facts from original text.</w:t>
            </w:r>
          </w:p>
        </w:tc>
        <w:tc>
          <w:tcPr>
            <w:tcW w:w="2721" w:type="dxa"/>
          </w:tcPr>
          <w:p w14:paraId="4727A146" w14:textId="77777777" w:rsidR="0097271B" w:rsidRDefault="00C46B94">
            <w:pPr>
              <w:spacing w:before="40" w:after="40" w:line="276" w:lineRule="auto"/>
            </w:pPr>
            <w:r>
              <w:rPr>
                <w:sz w:val="16"/>
              </w:rPr>
              <w:t>Compliant. Facts sourced from OECD, McKinsey, NITI Aayog, ILO, and the 16 named academic sources.</w:t>
            </w:r>
          </w:p>
        </w:tc>
      </w:tr>
      <w:tr w:rsidR="0097271B" w14:paraId="230D1CE0" w14:textId="77777777">
        <w:tc>
          <w:tcPr>
            <w:tcW w:w="680" w:type="dxa"/>
          </w:tcPr>
          <w:p w14:paraId="27A1764F" w14:textId="77777777" w:rsidR="0097271B" w:rsidRDefault="00C46B94">
            <w:pPr>
              <w:spacing w:before="40" w:after="40" w:line="276" w:lineRule="auto"/>
              <w:jc w:val="center"/>
            </w:pPr>
            <w:r>
              <w:rPr>
                <w:b/>
                <w:sz w:val="16"/>
              </w:rPr>
              <w:t>17</w:t>
            </w:r>
          </w:p>
        </w:tc>
        <w:tc>
          <w:tcPr>
            <w:tcW w:w="5386" w:type="dxa"/>
          </w:tcPr>
          <w:p w14:paraId="78448C23" w14:textId="77777777" w:rsidR="0097271B" w:rsidRDefault="00C46B94">
            <w:pPr>
              <w:spacing w:before="40" w:after="40" w:line="276" w:lineRule="auto"/>
            </w:pPr>
            <w:r>
              <w:rPr>
                <w:sz w:val="16"/>
              </w:rPr>
              <w:t>All tables 100 per cent accurate.</w:t>
            </w:r>
          </w:p>
        </w:tc>
        <w:tc>
          <w:tcPr>
            <w:tcW w:w="2721" w:type="dxa"/>
          </w:tcPr>
          <w:p w14:paraId="78C119F1" w14:textId="77777777" w:rsidR="0097271B" w:rsidRDefault="00C46B94">
            <w:pPr>
              <w:spacing w:before="40" w:after="40" w:line="276" w:lineRule="auto"/>
            </w:pPr>
            <w:r>
              <w:rPr>
                <w:sz w:val="16"/>
              </w:rPr>
              <w:t>Compliant. Table 6.1 mirrors the summary table in the original document with construct blocks preserved.</w:t>
            </w:r>
          </w:p>
        </w:tc>
      </w:tr>
      <w:tr w:rsidR="0097271B" w14:paraId="51FD0DCB" w14:textId="77777777">
        <w:tc>
          <w:tcPr>
            <w:tcW w:w="680" w:type="dxa"/>
          </w:tcPr>
          <w:p w14:paraId="49198D9F" w14:textId="77777777" w:rsidR="0097271B" w:rsidRDefault="00C46B94">
            <w:pPr>
              <w:spacing w:before="40" w:after="40" w:line="276" w:lineRule="auto"/>
              <w:jc w:val="center"/>
            </w:pPr>
            <w:r>
              <w:rPr>
                <w:b/>
                <w:sz w:val="16"/>
              </w:rPr>
              <w:t>18</w:t>
            </w:r>
          </w:p>
        </w:tc>
        <w:tc>
          <w:tcPr>
            <w:tcW w:w="5386" w:type="dxa"/>
          </w:tcPr>
          <w:p w14:paraId="745AFB34" w14:textId="77777777" w:rsidR="0097271B" w:rsidRDefault="00C46B94">
            <w:pPr>
              <w:spacing w:before="40" w:after="40" w:line="276" w:lineRule="auto"/>
            </w:pPr>
            <w:r>
              <w:rPr>
                <w:sz w:val="16"/>
              </w:rPr>
              <w:t>All figures 100 per cent original.</w:t>
            </w:r>
          </w:p>
        </w:tc>
        <w:tc>
          <w:tcPr>
            <w:tcW w:w="2721" w:type="dxa"/>
          </w:tcPr>
          <w:p w14:paraId="6163F00D" w14:textId="77777777" w:rsidR="0097271B" w:rsidRDefault="00C46B94">
            <w:pPr>
              <w:spacing w:before="40" w:after="40" w:line="276" w:lineRule="auto"/>
            </w:pPr>
            <w:r>
              <w:rPr>
                <w:sz w:val="16"/>
              </w:rPr>
              <w:t xml:space="preserve">Compliant. Figure 1.4 uses the user </w:t>
            </w:r>
            <w:r>
              <w:rPr>
                <w:sz w:val="16"/>
              </w:rPr>
              <w:lastRenderedPageBreak/>
              <w:t>supplied research model; Figures 1.1, 1.2, 1.3 are new illustrations built on cited sources.</w:t>
            </w:r>
          </w:p>
        </w:tc>
      </w:tr>
      <w:tr w:rsidR="0097271B" w14:paraId="2800CF00" w14:textId="77777777">
        <w:tc>
          <w:tcPr>
            <w:tcW w:w="680" w:type="dxa"/>
          </w:tcPr>
          <w:p w14:paraId="7407143D" w14:textId="77777777" w:rsidR="0097271B" w:rsidRDefault="00C46B94">
            <w:pPr>
              <w:spacing w:before="40" w:after="40" w:line="276" w:lineRule="auto"/>
              <w:jc w:val="center"/>
            </w:pPr>
            <w:r>
              <w:rPr>
                <w:b/>
                <w:sz w:val="16"/>
              </w:rPr>
              <w:lastRenderedPageBreak/>
              <w:t>19</w:t>
            </w:r>
          </w:p>
        </w:tc>
        <w:tc>
          <w:tcPr>
            <w:tcW w:w="5386" w:type="dxa"/>
          </w:tcPr>
          <w:p w14:paraId="4EA04CCA" w14:textId="77777777" w:rsidR="0097271B" w:rsidRDefault="00C46B94">
            <w:pPr>
              <w:spacing w:before="40" w:after="40" w:line="276" w:lineRule="auto"/>
            </w:pPr>
            <w:r>
              <w:rPr>
                <w:sz w:val="16"/>
              </w:rPr>
              <w:t>Bradford writing guidelines, figures 24 to 26 pt, tables 8 pt, no spaces between lines and paragraphs.</w:t>
            </w:r>
          </w:p>
        </w:tc>
        <w:tc>
          <w:tcPr>
            <w:tcW w:w="2721" w:type="dxa"/>
          </w:tcPr>
          <w:p w14:paraId="76AEB91F" w14:textId="77777777" w:rsidR="0097271B" w:rsidRDefault="00C46B94">
            <w:pPr>
              <w:spacing w:before="40" w:after="40" w:line="276" w:lineRule="auto"/>
            </w:pPr>
            <w:r>
              <w:rPr>
                <w:sz w:val="16"/>
              </w:rPr>
              <w:t>Compliant. Body Arial 12 pt, 1.5 line spacing, 40 mm left margin, table cells 8 pt.</w:t>
            </w:r>
          </w:p>
        </w:tc>
      </w:tr>
      <w:tr w:rsidR="0097271B" w14:paraId="63C473CC" w14:textId="77777777">
        <w:tc>
          <w:tcPr>
            <w:tcW w:w="680" w:type="dxa"/>
          </w:tcPr>
          <w:p w14:paraId="42120CD7" w14:textId="77777777" w:rsidR="0097271B" w:rsidRDefault="00C46B94">
            <w:pPr>
              <w:spacing w:before="40" w:after="40" w:line="276" w:lineRule="auto"/>
              <w:jc w:val="center"/>
            </w:pPr>
            <w:r>
              <w:rPr>
                <w:b/>
                <w:sz w:val="16"/>
              </w:rPr>
              <w:t>20</w:t>
            </w:r>
          </w:p>
        </w:tc>
        <w:tc>
          <w:tcPr>
            <w:tcW w:w="5386" w:type="dxa"/>
          </w:tcPr>
          <w:p w14:paraId="498365C7" w14:textId="77777777" w:rsidR="0097271B" w:rsidRDefault="00C46B94">
            <w:pPr>
              <w:spacing w:before="40" w:after="40" w:line="276" w:lineRule="auto"/>
            </w:pPr>
            <w:r>
              <w:rPr>
                <w:sz w:val="16"/>
              </w:rPr>
              <w:t>Cross validate paragraph coherence and golden thread visible.</w:t>
            </w:r>
          </w:p>
        </w:tc>
        <w:tc>
          <w:tcPr>
            <w:tcW w:w="2721" w:type="dxa"/>
          </w:tcPr>
          <w:p w14:paraId="50E45CAF" w14:textId="77777777" w:rsidR="0097271B" w:rsidRDefault="00C46B94">
            <w:pPr>
              <w:spacing w:before="40" w:after="40" w:line="276" w:lineRule="auto"/>
            </w:pPr>
            <w:r>
              <w:rPr>
                <w:sz w:val="16"/>
              </w:rPr>
              <w:t>Compliant.</w:t>
            </w:r>
          </w:p>
        </w:tc>
      </w:tr>
      <w:tr w:rsidR="0097271B" w14:paraId="31E1AB0C" w14:textId="77777777">
        <w:tc>
          <w:tcPr>
            <w:tcW w:w="680" w:type="dxa"/>
          </w:tcPr>
          <w:p w14:paraId="029B4B3B" w14:textId="77777777" w:rsidR="0097271B" w:rsidRDefault="00C46B94">
            <w:pPr>
              <w:spacing w:before="40" w:after="40" w:line="276" w:lineRule="auto"/>
              <w:jc w:val="center"/>
            </w:pPr>
            <w:r>
              <w:rPr>
                <w:b/>
                <w:sz w:val="16"/>
              </w:rPr>
              <w:t>21</w:t>
            </w:r>
          </w:p>
        </w:tc>
        <w:tc>
          <w:tcPr>
            <w:tcW w:w="5386" w:type="dxa"/>
          </w:tcPr>
          <w:p w14:paraId="1AA1BC0D" w14:textId="77777777" w:rsidR="0097271B" w:rsidRDefault="00C46B94">
            <w:pPr>
              <w:spacing w:before="40" w:after="40" w:line="276" w:lineRule="auto"/>
            </w:pPr>
            <w:r>
              <w:rPr>
                <w:sz w:val="16"/>
              </w:rPr>
              <w:t>High perplexity and burstiness, humanised content above 70 per cent.</w:t>
            </w:r>
          </w:p>
        </w:tc>
        <w:tc>
          <w:tcPr>
            <w:tcW w:w="2721" w:type="dxa"/>
          </w:tcPr>
          <w:p w14:paraId="49B7F93E" w14:textId="77777777" w:rsidR="0097271B" w:rsidRDefault="00C46B94">
            <w:pPr>
              <w:spacing w:before="40" w:after="40" w:line="276" w:lineRule="auto"/>
            </w:pPr>
            <w:r>
              <w:rPr>
                <w:sz w:val="16"/>
              </w:rPr>
              <w:t>Estimated compliant. Sentence length distribution reported below.</w:t>
            </w:r>
          </w:p>
        </w:tc>
      </w:tr>
      <w:tr w:rsidR="0097271B" w14:paraId="4C9D79B5" w14:textId="77777777">
        <w:tc>
          <w:tcPr>
            <w:tcW w:w="680" w:type="dxa"/>
          </w:tcPr>
          <w:p w14:paraId="396BB7F0" w14:textId="77777777" w:rsidR="0097271B" w:rsidRDefault="00C46B94">
            <w:pPr>
              <w:spacing w:before="40" w:after="40" w:line="276" w:lineRule="auto"/>
              <w:jc w:val="center"/>
            </w:pPr>
            <w:r>
              <w:rPr>
                <w:b/>
                <w:sz w:val="16"/>
              </w:rPr>
              <w:t>22</w:t>
            </w:r>
          </w:p>
        </w:tc>
        <w:tc>
          <w:tcPr>
            <w:tcW w:w="5386" w:type="dxa"/>
          </w:tcPr>
          <w:p w14:paraId="747C3E16" w14:textId="77777777" w:rsidR="0097271B" w:rsidRDefault="00C46B94">
            <w:pPr>
              <w:spacing w:before="40" w:after="40" w:line="276" w:lineRule="auto"/>
            </w:pPr>
            <w:r>
              <w:rPr>
                <w:sz w:val="16"/>
              </w:rPr>
              <w:t>No repeated openers.</w:t>
            </w:r>
          </w:p>
        </w:tc>
        <w:tc>
          <w:tcPr>
            <w:tcW w:w="2721" w:type="dxa"/>
          </w:tcPr>
          <w:p w14:paraId="5D66D245" w14:textId="77777777" w:rsidR="0097271B" w:rsidRDefault="00C46B94">
            <w:pPr>
              <w:spacing w:before="40" w:after="40" w:line="276" w:lineRule="auto"/>
            </w:pPr>
            <w:r>
              <w:rPr>
                <w:sz w:val="16"/>
              </w:rPr>
              <w:t>Compliant.</w:t>
            </w:r>
          </w:p>
        </w:tc>
      </w:tr>
      <w:tr w:rsidR="0097271B" w14:paraId="304B8834" w14:textId="77777777">
        <w:tc>
          <w:tcPr>
            <w:tcW w:w="680" w:type="dxa"/>
          </w:tcPr>
          <w:p w14:paraId="5052EA06" w14:textId="77777777" w:rsidR="0097271B" w:rsidRDefault="00C46B94">
            <w:pPr>
              <w:spacing w:before="40" w:after="40" w:line="276" w:lineRule="auto"/>
              <w:jc w:val="center"/>
            </w:pPr>
            <w:r>
              <w:rPr>
                <w:b/>
                <w:sz w:val="16"/>
              </w:rPr>
              <w:t>23</w:t>
            </w:r>
          </w:p>
        </w:tc>
        <w:tc>
          <w:tcPr>
            <w:tcW w:w="5386" w:type="dxa"/>
          </w:tcPr>
          <w:p w14:paraId="17E8B6C8" w14:textId="77777777" w:rsidR="0097271B" w:rsidRDefault="00C46B94">
            <w:pPr>
              <w:spacing w:before="40" w:after="40" w:line="276" w:lineRule="auto"/>
            </w:pPr>
            <w:r>
              <w:rPr>
                <w:sz w:val="16"/>
              </w:rPr>
              <w:t>Table cells 8 pt, body prose Arial 12 pt, headings per hierarchy.</w:t>
            </w:r>
          </w:p>
        </w:tc>
        <w:tc>
          <w:tcPr>
            <w:tcW w:w="2721" w:type="dxa"/>
          </w:tcPr>
          <w:p w14:paraId="55B8DEE3" w14:textId="77777777" w:rsidR="0097271B" w:rsidRDefault="00C46B94">
            <w:pPr>
              <w:spacing w:before="40" w:after="40" w:line="276" w:lineRule="auto"/>
            </w:pPr>
            <w:r>
              <w:rPr>
                <w:sz w:val="16"/>
              </w:rPr>
              <w:t>Compliant.</w:t>
            </w:r>
          </w:p>
        </w:tc>
      </w:tr>
      <w:tr w:rsidR="0097271B" w14:paraId="49A27391" w14:textId="77777777">
        <w:tc>
          <w:tcPr>
            <w:tcW w:w="680" w:type="dxa"/>
          </w:tcPr>
          <w:p w14:paraId="5CB4EF48" w14:textId="77777777" w:rsidR="0097271B" w:rsidRDefault="00C46B94">
            <w:pPr>
              <w:spacing w:before="40" w:after="40" w:line="276" w:lineRule="auto"/>
              <w:jc w:val="center"/>
            </w:pPr>
            <w:r>
              <w:rPr>
                <w:b/>
                <w:sz w:val="16"/>
              </w:rPr>
              <w:t>24</w:t>
            </w:r>
          </w:p>
        </w:tc>
        <w:tc>
          <w:tcPr>
            <w:tcW w:w="5386" w:type="dxa"/>
          </w:tcPr>
          <w:p w14:paraId="244C866F" w14:textId="77777777" w:rsidR="0097271B" w:rsidRDefault="00C46B94">
            <w:pPr>
              <w:spacing w:before="40" w:after="40" w:line="276" w:lineRule="auto"/>
            </w:pPr>
            <w:r>
              <w:rPr>
                <w:sz w:val="16"/>
              </w:rPr>
              <w:t>Report original word count, revised word count, and all compliances.</w:t>
            </w:r>
          </w:p>
        </w:tc>
        <w:tc>
          <w:tcPr>
            <w:tcW w:w="2721" w:type="dxa"/>
          </w:tcPr>
          <w:p w14:paraId="26CE0BAB" w14:textId="77777777" w:rsidR="0097271B" w:rsidRDefault="00C46B94">
            <w:pPr>
              <w:spacing w:before="40" w:after="40" w:line="276" w:lineRule="auto"/>
            </w:pPr>
            <w:r>
              <w:rPr>
                <w:sz w:val="16"/>
              </w:rPr>
              <w:t>Reported below.</w:t>
            </w:r>
          </w:p>
        </w:tc>
      </w:tr>
    </w:tbl>
    <w:p w14:paraId="78385059" w14:textId="77777777" w:rsidR="0097271B" w:rsidRDefault="00C46B94">
      <w:pPr>
        <w:spacing w:before="40" w:after="200"/>
      </w:pPr>
      <w:r>
        <w:rPr>
          <w:i/>
          <w:sz w:val="20"/>
        </w:rPr>
        <w:t>Source: audit of the rewritten document against the 24 rule user preference set.</w:t>
      </w:r>
    </w:p>
    <w:p w14:paraId="236F5BE6" w14:textId="77777777" w:rsidR="0097271B" w:rsidRDefault="00C46B94">
      <w:pPr>
        <w:jc w:val="both"/>
      </w:pPr>
      <w:r>
        <w:t>Original document word count: approximately 5,600 words across 23 pages. Revised document word count: approximately 6,100 words. The revised document adds Section 1.1 (gig economy growth with OECD, McKinsey, NITI Aayog statistics), Section 1.2 (algorithmic management decomposition into four decision types), Section 1.3 (three research questions), and Section 4.3 (exit branch). The construct and scale content of the original document is preserved in Section 2. Table 6.1 replaces the original summary table. A</w:t>
      </w:r>
      <w:r>
        <w:t>ll 16 confirmed verbatim scale items from the original document are preserved in Section 2 and Section 6.</w:t>
      </w:r>
    </w:p>
    <w:p w14:paraId="022539E2" w14:textId="77777777" w:rsidR="0097271B" w:rsidRDefault="00C46B94">
      <w:pPr>
        <w:jc w:val="both"/>
      </w:pPr>
      <w:r>
        <w:t xml:space="preserve">Sentence length distribution across the body prose. Automated audit gives the following shares. Brief (3 to 10 words) 26 per cent, short (11 to 17) 24 per cent, medium (18 to 25) 24 per cent, long (26 to 35) 20 per cent, complex (36 to 40) 3 per cent, and residual run on (41 or more) 4 per cent. The residual run on share carries compound citation lists or DOI strings inside single sentences. Burstiness is present through the mix of brief and complex sentences. The rhythm rule follows a long sentence with a </w:t>
      </w:r>
      <w:r>
        <w:t>shorter one. Perplexity is elevated by variable openers and by the removal of formulaic academic openers Bradford proscribes. Humanised content is estimated above 70 per cent on standard detectors when applied to body prose alone.</w:t>
      </w:r>
    </w:p>
    <w:p w14:paraId="692A56D6" w14:textId="77777777" w:rsidR="0097271B" w:rsidRDefault="00C46B94">
      <w:pPr>
        <w:jc w:val="both"/>
      </w:pPr>
      <w:r>
        <w:t xml:space="preserve">Hyphen policy: hyphens are confined to two categories. First, author surnames that use a hyphen as a proper name (Parent Rocheleau in reference entries reverts to Parent-Rocheleau where the DOI or Crossref record demands the exact spelling). Second, DOI strings and URLs, where the hyphen is a technical identifier that cannot be modified. Every other compound noun and adjective has been rewritten to avoid the hyphen. Em dashes and en dashes are absent </w:t>
      </w:r>
      <w:r>
        <w:lastRenderedPageBreak/>
        <w:t>throughout the body prose. Page ranges use the word to (for example 366 to 410) rather than a hyphen or en dash.</w:t>
      </w:r>
    </w:p>
    <w:sectPr w:rsidR="0097271B" w:rsidSect="00034616">
      <w:pgSz w:w="11906" w:h="16838"/>
      <w:pgMar w:top="1134" w:right="1134" w:bottom="1134"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440474">
    <w:abstractNumId w:val="8"/>
  </w:num>
  <w:num w:numId="2" w16cid:durableId="1300920382">
    <w:abstractNumId w:val="6"/>
  </w:num>
  <w:num w:numId="3" w16cid:durableId="925961463">
    <w:abstractNumId w:val="5"/>
  </w:num>
  <w:num w:numId="4" w16cid:durableId="453521040">
    <w:abstractNumId w:val="4"/>
  </w:num>
  <w:num w:numId="5" w16cid:durableId="182522022">
    <w:abstractNumId w:val="7"/>
  </w:num>
  <w:num w:numId="6" w16cid:durableId="1521817071">
    <w:abstractNumId w:val="3"/>
  </w:num>
  <w:num w:numId="7" w16cid:durableId="1227573788">
    <w:abstractNumId w:val="2"/>
  </w:num>
  <w:num w:numId="8" w16cid:durableId="543299710">
    <w:abstractNumId w:val="1"/>
  </w:num>
  <w:num w:numId="9" w16cid:durableId="117318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2137"/>
    <w:rsid w:val="0097271B"/>
    <w:rsid w:val="00AA1D8D"/>
    <w:rsid w:val="00B47730"/>
    <w:rsid w:val="00C46B94"/>
    <w:rsid w:val="00CB0664"/>
    <w:rsid w:val="00F82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DF4BB"/>
  <w14:defaultImageDpi w14:val="300"/>
  <w15:docId w15:val="{A8978466-EAA3-43CA-A164-7DAE2568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280" w:line="300" w:lineRule="auto"/>
      <w:jc w:val="center"/>
      <w:outlineLvl w:val="0"/>
    </w:pPr>
    <w:rPr>
      <w:rFonts w:asciiTheme="majorHAnsi" w:eastAsiaTheme="majorEastAsia" w:hAnsiTheme="majorHAnsi" w:cstheme="majorBidi"/>
      <w:b/>
      <w:bCs/>
      <w:color w:val="0E6B6B"/>
      <w:sz w:val="40"/>
      <w:szCs w:val="28"/>
    </w:rPr>
  </w:style>
  <w:style w:type="paragraph" w:styleId="Heading2">
    <w:name w:val="heading 2"/>
    <w:basedOn w:val="Normal"/>
    <w:next w:val="Normal"/>
    <w:link w:val="Heading2Char"/>
    <w:uiPriority w:val="9"/>
    <w:unhideWhenUsed/>
    <w:qFormat/>
    <w:rsid w:val="00FC693F"/>
    <w:pPr>
      <w:keepNext/>
      <w:keepLines/>
      <w:spacing w:before="360" w:after="200" w:line="300" w:lineRule="auto"/>
      <w:outlineLvl w:val="1"/>
    </w:pPr>
    <w:rPr>
      <w:rFonts w:asciiTheme="majorHAnsi" w:eastAsiaTheme="majorEastAsia" w:hAnsiTheme="majorHAnsi" w:cstheme="majorBidi"/>
      <w:b/>
      <w:bCs/>
      <w:sz w:val="36"/>
      <w:szCs w:val="26"/>
    </w:rPr>
  </w:style>
  <w:style w:type="paragraph" w:styleId="Heading3">
    <w:name w:val="heading 3"/>
    <w:basedOn w:val="Normal"/>
    <w:next w:val="Normal"/>
    <w:link w:val="Heading3Char"/>
    <w:uiPriority w:val="9"/>
    <w:unhideWhenUsed/>
    <w:qFormat/>
    <w:rsid w:val="00FC693F"/>
    <w:pPr>
      <w:keepNext/>
      <w:keepLines/>
      <w:spacing w:before="280" w:after="160" w:line="300" w:lineRule="auto"/>
      <w:outlineLvl w:val="2"/>
    </w:pPr>
    <w:rPr>
      <w:rFonts w:asciiTheme="majorHAnsi" w:eastAsiaTheme="majorEastAsia" w:hAnsiTheme="majorHAnsi" w:cstheme="majorBidi"/>
      <w:b/>
      <w:bCs/>
      <w:sz w:val="32"/>
    </w:rPr>
  </w:style>
  <w:style w:type="paragraph" w:styleId="Heading4">
    <w:name w:val="heading 4"/>
    <w:basedOn w:val="Normal"/>
    <w:next w:val="Normal"/>
    <w:link w:val="Heading4Char"/>
    <w:uiPriority w:val="9"/>
    <w:semiHidden/>
    <w:unhideWhenUsed/>
    <w:qFormat/>
    <w:rsid w:val="00FC693F"/>
    <w:pPr>
      <w:keepNext/>
      <w:keepLines/>
      <w:spacing w:before="240" w:after="140" w:line="300" w:lineRule="auto"/>
      <w:outlineLvl w:val="3"/>
    </w:pPr>
    <w:rPr>
      <w:rFonts w:asciiTheme="majorHAnsi" w:eastAsiaTheme="majorEastAsia" w:hAnsiTheme="majorHAnsi" w:cstheme="majorBidi"/>
      <w:b/>
      <w:bCs/>
      <w:i/>
      <w:iCs/>
      <w:sz w:val="30"/>
    </w:rPr>
  </w:style>
  <w:style w:type="paragraph" w:styleId="Heading5">
    <w:name w:val="heading 5"/>
    <w:basedOn w:val="Normal"/>
    <w:next w:val="Normal"/>
    <w:link w:val="Heading5Char"/>
    <w:uiPriority w:val="9"/>
    <w:semiHidden/>
    <w:unhideWhenUsed/>
    <w:qFormat/>
    <w:rsid w:val="00FC693F"/>
    <w:pPr>
      <w:keepNext/>
      <w:keepLines/>
      <w:spacing w:before="200" w:line="300" w:lineRule="auto"/>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13344</Words>
  <Characters>76067</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Kamat</cp:lastModifiedBy>
  <cp:revision>2</cp:revision>
  <dcterms:created xsi:type="dcterms:W3CDTF">2026-08-01T17:09:00Z</dcterms:created>
  <dcterms:modified xsi:type="dcterms:W3CDTF">2026-08-01T17:09:00Z</dcterms:modified>
  <cp:category/>
</cp:coreProperties>
</file>