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A318" w14:textId="7CEFB910" w:rsidR="185E4B97" w:rsidRDefault="185E4B97" w:rsidP="6B9F2809">
      <w:pPr>
        <w:pStyle w:val="Heading3"/>
        <w:spacing w:before="281" w:after="281" w:line="360" w:lineRule="auto"/>
        <w:jc w:val="both"/>
        <w:rPr>
          <w:rFonts w:ascii="Times New Roman" w:eastAsia="Times New Roman" w:hAnsi="Times New Roman" w:cs="Times New Roman"/>
          <w:b/>
          <w:bCs/>
          <w:sz w:val="24"/>
          <w:szCs w:val="24"/>
        </w:rPr>
      </w:pPr>
      <w:r w:rsidRPr="6B9F2809">
        <w:rPr>
          <w:rFonts w:ascii="Times New Roman" w:eastAsia="Times New Roman" w:hAnsi="Times New Roman" w:cs="Times New Roman"/>
          <w:b/>
          <w:bCs/>
          <w:sz w:val="24"/>
          <w:szCs w:val="24"/>
        </w:rPr>
        <w:t>Executive Summary</w:t>
      </w:r>
    </w:p>
    <w:p w14:paraId="131E5330" w14:textId="378A6F1E" w:rsidR="185E4B97" w:rsidRDefault="185E4B97" w:rsidP="6B9F2809">
      <w:pPr>
        <w:spacing w:before="240" w:after="240" w:line="360" w:lineRule="auto"/>
        <w:jc w:val="both"/>
        <w:rPr>
          <w:rFonts w:ascii="Times New Roman" w:eastAsia="Times New Roman" w:hAnsi="Times New Roman" w:cs="Times New Roman"/>
        </w:rPr>
      </w:pPr>
      <w:r w:rsidRPr="6B9F2809">
        <w:rPr>
          <w:rFonts w:ascii="Times New Roman" w:eastAsia="Times New Roman" w:hAnsi="Times New Roman" w:cs="Times New Roman"/>
        </w:rPr>
        <w:t xml:space="preserve">This report presents a comprehensive analysis of funding trends and network collaborations in </w:t>
      </w:r>
      <w:proofErr w:type="spellStart"/>
      <w:r w:rsidRPr="6B9F2809">
        <w:rPr>
          <w:rFonts w:ascii="Times New Roman" w:eastAsia="Times New Roman" w:hAnsi="Times New Roman" w:cs="Times New Roman"/>
        </w:rPr>
        <w:t>Dravet</w:t>
      </w:r>
      <w:proofErr w:type="spellEnd"/>
      <w:r w:rsidRPr="6B9F2809">
        <w:rPr>
          <w:rFonts w:ascii="Times New Roman" w:eastAsia="Times New Roman" w:hAnsi="Times New Roman" w:cs="Times New Roman"/>
        </w:rPr>
        <w:t xml:space="preserve"> Syndrome and pediatric epilepsy research, conducted to provide actionable insights to our sponsor, Grik Therapeutics. By leveraging historical funding data, network analysis, and predictive modeling, this study aims to inform and enhance strategic funding initiatives and research prioritization efforts. The main findings are summarized as follows:</w:t>
      </w:r>
    </w:p>
    <w:p w14:paraId="6644FC6C" w14:textId="17D79A21" w:rsidR="185E4B97" w:rsidRDefault="185E4B97" w:rsidP="6B9F2809">
      <w:pPr>
        <w:pStyle w:val="Heading4"/>
        <w:spacing w:before="319" w:after="319" w:line="360" w:lineRule="auto"/>
        <w:jc w:val="both"/>
        <w:rPr>
          <w:rFonts w:ascii="Times New Roman" w:eastAsia="Times New Roman" w:hAnsi="Times New Roman" w:cs="Times New Roman"/>
          <w:b/>
          <w:bCs/>
        </w:rPr>
      </w:pPr>
      <w:r w:rsidRPr="6B9F2809">
        <w:rPr>
          <w:rFonts w:ascii="Times New Roman" w:eastAsia="Times New Roman" w:hAnsi="Times New Roman" w:cs="Times New Roman"/>
          <w:b/>
          <w:bCs/>
        </w:rPr>
        <w:t>Introduction</w:t>
      </w:r>
    </w:p>
    <w:p w14:paraId="40EE0D6F" w14:textId="0643B5F0" w:rsidR="185E4B97" w:rsidRDefault="185E4B97" w:rsidP="6B9F2809">
      <w:pPr>
        <w:spacing w:before="240" w:after="240" w:line="360" w:lineRule="auto"/>
        <w:jc w:val="both"/>
        <w:rPr>
          <w:rFonts w:ascii="Times New Roman" w:eastAsia="Times New Roman" w:hAnsi="Times New Roman" w:cs="Times New Roman"/>
        </w:rPr>
      </w:pPr>
      <w:proofErr w:type="spellStart"/>
      <w:r w:rsidRPr="6B9F2809">
        <w:rPr>
          <w:rFonts w:ascii="Times New Roman" w:eastAsia="Times New Roman" w:hAnsi="Times New Roman" w:cs="Times New Roman"/>
        </w:rPr>
        <w:t>Dravet</w:t>
      </w:r>
      <w:proofErr w:type="spellEnd"/>
      <w:r w:rsidRPr="6B9F2809">
        <w:rPr>
          <w:rFonts w:ascii="Times New Roman" w:eastAsia="Times New Roman" w:hAnsi="Times New Roman" w:cs="Times New Roman"/>
        </w:rPr>
        <w:t xml:space="preserve"> Syndrome is a rare, catastrophic form of epilepsy that begins in the first year of life, leading to severe cognitive and developmental delays. Pediatric epilepsy encompasses a range of seizure disorders in children, causing significant neurological and cognitive impairments. Research in these areas is crucial for improving patient outcomes and reducing the burden on families and healthcare systems. This study utilizes data from NIH </w:t>
      </w:r>
      <w:proofErr w:type="spellStart"/>
      <w:r w:rsidRPr="6B9F2809">
        <w:rPr>
          <w:rFonts w:ascii="Times New Roman" w:eastAsia="Times New Roman" w:hAnsi="Times New Roman" w:cs="Times New Roman"/>
        </w:rPr>
        <w:t>RePORTER</w:t>
      </w:r>
      <w:proofErr w:type="spellEnd"/>
      <w:r w:rsidRPr="6B9F2809">
        <w:rPr>
          <w:rFonts w:ascii="Times New Roman" w:eastAsia="Times New Roman" w:hAnsi="Times New Roman" w:cs="Times New Roman"/>
        </w:rPr>
        <w:t>, ClinicalTrials.gov, and additional financial datasets to analyze funding trends and network collaborations in epilepsy research.</w:t>
      </w:r>
    </w:p>
    <w:p w14:paraId="40976D1D" w14:textId="6CA5753F" w:rsidR="185E4B97" w:rsidRDefault="185E4B97" w:rsidP="6B9F2809">
      <w:pPr>
        <w:pStyle w:val="Heading4"/>
        <w:spacing w:before="319" w:after="319" w:line="360" w:lineRule="auto"/>
        <w:jc w:val="both"/>
        <w:rPr>
          <w:rFonts w:ascii="Times New Roman" w:eastAsia="Times New Roman" w:hAnsi="Times New Roman" w:cs="Times New Roman"/>
          <w:b/>
          <w:bCs/>
        </w:rPr>
      </w:pPr>
      <w:r w:rsidRPr="6B9F2809">
        <w:rPr>
          <w:rFonts w:ascii="Times New Roman" w:eastAsia="Times New Roman" w:hAnsi="Times New Roman" w:cs="Times New Roman"/>
          <w:b/>
          <w:bCs/>
        </w:rPr>
        <w:t>Methodology</w:t>
      </w:r>
    </w:p>
    <w:p w14:paraId="7E4E084A" w14:textId="34F58E6F" w:rsidR="185E4B97" w:rsidRDefault="185E4B97" w:rsidP="6B9F2809">
      <w:pPr>
        <w:spacing w:before="240" w:after="240" w:line="360" w:lineRule="auto"/>
        <w:jc w:val="both"/>
        <w:rPr>
          <w:rFonts w:ascii="Times New Roman" w:eastAsia="Times New Roman" w:hAnsi="Times New Roman" w:cs="Times New Roman"/>
        </w:rPr>
      </w:pPr>
      <w:r w:rsidRPr="6B9F2809">
        <w:rPr>
          <w:rFonts w:ascii="Times New Roman" w:eastAsia="Times New Roman" w:hAnsi="Times New Roman" w:cs="Times New Roman"/>
        </w:rPr>
        <w:t xml:space="preserve">The methodology includes data cleaning, exploratory analysis, network analysis, and predictive modeling, all conducted using Python. Data cleaning involved correcting data types and filtering out irrelevant entries. Exploratory analysis generated visualizations to understand funding trends and distributions. Network analysis identified key researchers and their collaborations. Predictive modeling using Random Forest and </w:t>
      </w:r>
      <w:proofErr w:type="spellStart"/>
      <w:r w:rsidRPr="6B9F2809">
        <w:rPr>
          <w:rFonts w:ascii="Times New Roman" w:eastAsia="Times New Roman" w:hAnsi="Times New Roman" w:cs="Times New Roman"/>
        </w:rPr>
        <w:t>XGBoost</w:t>
      </w:r>
      <w:proofErr w:type="spellEnd"/>
      <w:r w:rsidRPr="6B9F2809">
        <w:rPr>
          <w:rFonts w:ascii="Times New Roman" w:eastAsia="Times New Roman" w:hAnsi="Times New Roman" w:cs="Times New Roman"/>
        </w:rPr>
        <w:t xml:space="preserve"> algorithms forecasted project costs, with </w:t>
      </w:r>
      <w:proofErr w:type="spellStart"/>
      <w:r w:rsidRPr="6B9F2809">
        <w:rPr>
          <w:rFonts w:ascii="Times New Roman" w:eastAsia="Times New Roman" w:hAnsi="Times New Roman" w:cs="Times New Roman"/>
        </w:rPr>
        <w:t>XGBoost</w:t>
      </w:r>
      <w:proofErr w:type="spellEnd"/>
      <w:r w:rsidRPr="6B9F2809">
        <w:rPr>
          <w:rFonts w:ascii="Times New Roman" w:eastAsia="Times New Roman" w:hAnsi="Times New Roman" w:cs="Times New Roman"/>
        </w:rPr>
        <w:t xml:space="preserve"> showing superior performance.</w:t>
      </w:r>
    </w:p>
    <w:p w14:paraId="18AE72CA" w14:textId="69CC308F" w:rsidR="185E4B97" w:rsidRDefault="185E4B97" w:rsidP="6B9F2809">
      <w:pPr>
        <w:pStyle w:val="Heading4"/>
        <w:spacing w:before="319" w:after="319" w:line="360" w:lineRule="auto"/>
        <w:jc w:val="both"/>
        <w:rPr>
          <w:rFonts w:ascii="Times New Roman" w:eastAsia="Times New Roman" w:hAnsi="Times New Roman" w:cs="Times New Roman"/>
          <w:b/>
          <w:bCs/>
        </w:rPr>
      </w:pPr>
      <w:r w:rsidRPr="6B9F2809">
        <w:rPr>
          <w:rFonts w:ascii="Times New Roman" w:eastAsia="Times New Roman" w:hAnsi="Times New Roman" w:cs="Times New Roman"/>
          <w:b/>
          <w:bCs/>
        </w:rPr>
        <w:t>Results</w:t>
      </w:r>
    </w:p>
    <w:p w14:paraId="2AFA9AEB" w14:textId="52DB75FC" w:rsidR="185E4B97" w:rsidRDefault="185E4B97" w:rsidP="6B9F2809">
      <w:pPr>
        <w:pStyle w:val="ListParagraph"/>
        <w:numPr>
          <w:ilvl w:val="0"/>
          <w:numId w:val="2"/>
        </w:numPr>
        <w:spacing w:before="240" w:after="24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Exploratory Analysis</w:t>
      </w:r>
      <w:r w:rsidRPr="6B9F2809">
        <w:rPr>
          <w:rFonts w:ascii="Times New Roman" w:eastAsia="Times New Roman" w:hAnsi="Times New Roman" w:cs="Times New Roman"/>
        </w:rPr>
        <w:t>:</w:t>
      </w:r>
    </w:p>
    <w:p w14:paraId="5EC827E7" w14:textId="70FE5CBC" w:rsidR="185E4B97" w:rsidRDefault="185E4B97" w:rsidP="6B9F2809">
      <w:pPr>
        <w:pStyle w:val="ListParagraph"/>
        <w:numPr>
          <w:ilvl w:val="1"/>
          <w:numId w:val="1"/>
        </w:numPr>
        <w:spacing w:after="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Total NIH Funding for Epilepsy Research by Fiscal Year</w:t>
      </w:r>
      <w:r w:rsidRPr="6B9F2809">
        <w:rPr>
          <w:rFonts w:ascii="Times New Roman" w:eastAsia="Times New Roman" w:hAnsi="Times New Roman" w:cs="Times New Roman"/>
        </w:rPr>
        <w:t xml:space="preserve">: This analysis revealed an overall upward trend in funding, indicating increasing support for </w:t>
      </w:r>
      <w:r w:rsidRPr="6B9F2809">
        <w:rPr>
          <w:rFonts w:ascii="Times New Roman" w:eastAsia="Times New Roman" w:hAnsi="Times New Roman" w:cs="Times New Roman"/>
        </w:rPr>
        <w:lastRenderedPageBreak/>
        <w:t>epilepsy research. The forecast for 2024 provides a data-driven estimate for future funding.</w:t>
      </w:r>
    </w:p>
    <w:p w14:paraId="3C166221" w14:textId="16E0ADCF" w:rsidR="185E4B97" w:rsidRDefault="185E4B97" w:rsidP="6B9F2809">
      <w:pPr>
        <w:pStyle w:val="ListParagraph"/>
        <w:numPr>
          <w:ilvl w:val="1"/>
          <w:numId w:val="1"/>
        </w:numPr>
        <w:spacing w:after="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 xml:space="preserve">Top 10 NIH Funding Sources for </w:t>
      </w:r>
      <w:proofErr w:type="spellStart"/>
      <w:r w:rsidRPr="6B9F2809">
        <w:rPr>
          <w:rFonts w:ascii="Times New Roman" w:eastAsia="Times New Roman" w:hAnsi="Times New Roman" w:cs="Times New Roman"/>
          <w:b/>
          <w:bCs/>
        </w:rPr>
        <w:t>Dravet</w:t>
      </w:r>
      <w:proofErr w:type="spellEnd"/>
      <w:r w:rsidRPr="6B9F2809">
        <w:rPr>
          <w:rFonts w:ascii="Times New Roman" w:eastAsia="Times New Roman" w:hAnsi="Times New Roman" w:cs="Times New Roman"/>
          <w:b/>
          <w:bCs/>
        </w:rPr>
        <w:t xml:space="preserve"> Syndrome Research by Administering IC</w:t>
      </w:r>
      <w:r w:rsidRPr="6B9F2809">
        <w:rPr>
          <w:rFonts w:ascii="Times New Roman" w:eastAsia="Times New Roman" w:hAnsi="Times New Roman" w:cs="Times New Roman"/>
        </w:rPr>
        <w:t>: NINDS emerged as the largest funder, highlighting the importance of targeting grant proposals to this institute.</w:t>
      </w:r>
    </w:p>
    <w:p w14:paraId="672565ED" w14:textId="72B8200E" w:rsidR="185E4B97" w:rsidRDefault="185E4B97" w:rsidP="6B9F2809">
      <w:pPr>
        <w:pStyle w:val="ListParagraph"/>
        <w:numPr>
          <w:ilvl w:val="1"/>
          <w:numId w:val="1"/>
        </w:numPr>
        <w:spacing w:after="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 xml:space="preserve">Total NIH Funding for </w:t>
      </w:r>
      <w:proofErr w:type="spellStart"/>
      <w:r w:rsidRPr="6B9F2809">
        <w:rPr>
          <w:rFonts w:ascii="Times New Roman" w:eastAsia="Times New Roman" w:hAnsi="Times New Roman" w:cs="Times New Roman"/>
          <w:b/>
          <w:bCs/>
        </w:rPr>
        <w:t>Dravet</w:t>
      </w:r>
      <w:proofErr w:type="spellEnd"/>
      <w:r w:rsidRPr="6B9F2809">
        <w:rPr>
          <w:rFonts w:ascii="Times New Roman" w:eastAsia="Times New Roman" w:hAnsi="Times New Roman" w:cs="Times New Roman"/>
          <w:b/>
          <w:bCs/>
        </w:rPr>
        <w:t xml:space="preserve"> Syndrome Research by State</w:t>
      </w:r>
      <w:r w:rsidRPr="6B9F2809">
        <w:rPr>
          <w:rFonts w:ascii="Times New Roman" w:eastAsia="Times New Roman" w:hAnsi="Times New Roman" w:cs="Times New Roman"/>
        </w:rPr>
        <w:t>: The geographic distribution of funding shows that states like California, Michigan, and Massachusetts receive the most funding, indicating strong research activity in these regions.</w:t>
      </w:r>
    </w:p>
    <w:p w14:paraId="3EB52AAD" w14:textId="5ECE0956" w:rsidR="185E4B97" w:rsidRDefault="185E4B97" w:rsidP="6B9F2809">
      <w:pPr>
        <w:pStyle w:val="ListParagraph"/>
        <w:numPr>
          <w:ilvl w:val="1"/>
          <w:numId w:val="1"/>
        </w:numPr>
        <w:spacing w:after="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Funding Distribution by Type of Activity</w:t>
      </w:r>
      <w:r w:rsidRPr="6B9F2809">
        <w:rPr>
          <w:rFonts w:ascii="Times New Roman" w:eastAsia="Times New Roman" w:hAnsi="Times New Roman" w:cs="Times New Roman"/>
        </w:rPr>
        <w:t>: R01 grants received the largest share of funding, suggesting a preference for individual research projects.</w:t>
      </w:r>
    </w:p>
    <w:p w14:paraId="143F7461" w14:textId="28D87CE2" w:rsidR="185E4B97" w:rsidRDefault="185E4B97" w:rsidP="6B9F2809">
      <w:pPr>
        <w:pStyle w:val="ListParagraph"/>
        <w:numPr>
          <w:ilvl w:val="0"/>
          <w:numId w:val="2"/>
        </w:numPr>
        <w:spacing w:before="240" w:after="24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Network Analysis</w:t>
      </w:r>
      <w:r w:rsidRPr="6B9F2809">
        <w:rPr>
          <w:rFonts w:ascii="Times New Roman" w:eastAsia="Times New Roman" w:hAnsi="Times New Roman" w:cs="Times New Roman"/>
        </w:rPr>
        <w:t>:</w:t>
      </w:r>
    </w:p>
    <w:p w14:paraId="3497E1DA" w14:textId="08FF5E0B" w:rsidR="185E4B97" w:rsidRDefault="185E4B97" w:rsidP="6B9F2809">
      <w:pPr>
        <w:pStyle w:val="ListParagraph"/>
        <w:numPr>
          <w:ilvl w:val="1"/>
          <w:numId w:val="1"/>
        </w:numPr>
        <w:spacing w:after="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Top 10 PIs by Total Funding and Project Count</w:t>
      </w:r>
      <w:r w:rsidRPr="6B9F2809">
        <w:rPr>
          <w:rFonts w:ascii="Times New Roman" w:eastAsia="Times New Roman" w:hAnsi="Times New Roman" w:cs="Times New Roman"/>
        </w:rPr>
        <w:t>: This table identified the most funded and active researchers, providing insights into successful research areas and potential collaboration opportunities.</w:t>
      </w:r>
    </w:p>
    <w:p w14:paraId="3EC72105" w14:textId="3C872103" w:rsidR="185E4B97" w:rsidRDefault="185E4B97" w:rsidP="6B9F2809">
      <w:pPr>
        <w:pStyle w:val="ListParagraph"/>
        <w:numPr>
          <w:ilvl w:val="1"/>
          <w:numId w:val="1"/>
        </w:numPr>
        <w:spacing w:after="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Network Graph of PIs and Collaborations</w:t>
      </w:r>
      <w:r w:rsidRPr="6B9F2809">
        <w:rPr>
          <w:rFonts w:ascii="Times New Roman" w:eastAsia="Times New Roman" w:hAnsi="Times New Roman" w:cs="Times New Roman"/>
        </w:rPr>
        <w:t>: This visualization showed the structure of the research network, identifying key collaboration hubs and clusters.</w:t>
      </w:r>
    </w:p>
    <w:p w14:paraId="3B4D4582" w14:textId="2CB72EA4" w:rsidR="185E4B97" w:rsidRDefault="185E4B97" w:rsidP="6B9F2809">
      <w:pPr>
        <w:pStyle w:val="ListParagraph"/>
        <w:numPr>
          <w:ilvl w:val="0"/>
          <w:numId w:val="2"/>
        </w:numPr>
        <w:spacing w:before="240" w:after="24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Predictive Modeling</w:t>
      </w:r>
      <w:r w:rsidRPr="6B9F2809">
        <w:rPr>
          <w:rFonts w:ascii="Times New Roman" w:eastAsia="Times New Roman" w:hAnsi="Times New Roman" w:cs="Times New Roman"/>
        </w:rPr>
        <w:t>:</w:t>
      </w:r>
    </w:p>
    <w:p w14:paraId="5B774B93" w14:textId="7AEB4B77" w:rsidR="185E4B97" w:rsidRDefault="185E4B97" w:rsidP="6B9F2809">
      <w:pPr>
        <w:pStyle w:val="ListParagraph"/>
        <w:numPr>
          <w:ilvl w:val="1"/>
          <w:numId w:val="1"/>
        </w:numPr>
        <w:spacing w:after="0" w:line="360" w:lineRule="auto"/>
        <w:jc w:val="both"/>
        <w:rPr>
          <w:rFonts w:ascii="Times New Roman" w:eastAsia="Times New Roman" w:hAnsi="Times New Roman" w:cs="Times New Roman"/>
        </w:rPr>
      </w:pPr>
      <w:r w:rsidRPr="6B9F2809">
        <w:rPr>
          <w:rFonts w:ascii="Times New Roman" w:eastAsia="Times New Roman" w:hAnsi="Times New Roman" w:cs="Times New Roman"/>
          <w:b/>
          <w:bCs/>
        </w:rPr>
        <w:t>Performance of Models</w:t>
      </w:r>
      <w:r w:rsidRPr="6B9F2809">
        <w:rPr>
          <w:rFonts w:ascii="Times New Roman" w:eastAsia="Times New Roman" w:hAnsi="Times New Roman" w:cs="Times New Roman"/>
        </w:rPr>
        <w:t xml:space="preserve">: </w:t>
      </w:r>
      <w:proofErr w:type="spellStart"/>
      <w:r w:rsidRPr="6B9F2809">
        <w:rPr>
          <w:rFonts w:ascii="Times New Roman" w:eastAsia="Times New Roman" w:hAnsi="Times New Roman" w:cs="Times New Roman"/>
        </w:rPr>
        <w:t>XGBoost</w:t>
      </w:r>
      <w:proofErr w:type="spellEnd"/>
      <w:r w:rsidRPr="6B9F2809">
        <w:rPr>
          <w:rFonts w:ascii="Times New Roman" w:eastAsia="Times New Roman" w:hAnsi="Times New Roman" w:cs="Times New Roman"/>
        </w:rPr>
        <w:t xml:space="preserve"> outperformed Random Forest with an R^2 score of 0.9034, indicating a very strong fit. The feature importance plot highlighted key factors influencing NIH funding allocations, such as specific funding mechanisms and organizational types.</w:t>
      </w:r>
    </w:p>
    <w:p w14:paraId="5B14BB2E" w14:textId="044DBB70" w:rsidR="185E4B97" w:rsidRDefault="185E4B97" w:rsidP="6B9F2809">
      <w:pPr>
        <w:pStyle w:val="Heading4"/>
        <w:spacing w:before="319" w:after="319" w:line="360" w:lineRule="auto"/>
        <w:jc w:val="both"/>
        <w:rPr>
          <w:rFonts w:ascii="Times New Roman" w:eastAsia="Times New Roman" w:hAnsi="Times New Roman" w:cs="Times New Roman"/>
          <w:b/>
          <w:bCs/>
        </w:rPr>
      </w:pPr>
      <w:r w:rsidRPr="6B9F2809">
        <w:rPr>
          <w:rFonts w:ascii="Times New Roman" w:eastAsia="Times New Roman" w:hAnsi="Times New Roman" w:cs="Times New Roman"/>
          <w:b/>
          <w:bCs/>
        </w:rPr>
        <w:t>Conclusion</w:t>
      </w:r>
    </w:p>
    <w:p w14:paraId="40F1A263" w14:textId="17C9D85B" w:rsidR="185E4B97" w:rsidRDefault="185E4B97" w:rsidP="6B9F2809">
      <w:pPr>
        <w:spacing w:before="240" w:after="240" w:line="360" w:lineRule="auto"/>
        <w:jc w:val="both"/>
        <w:rPr>
          <w:rFonts w:ascii="Times New Roman" w:eastAsia="Times New Roman" w:hAnsi="Times New Roman" w:cs="Times New Roman"/>
        </w:rPr>
      </w:pPr>
      <w:r w:rsidRPr="6B9F2809">
        <w:rPr>
          <w:rFonts w:ascii="Times New Roman" w:eastAsia="Times New Roman" w:hAnsi="Times New Roman" w:cs="Times New Roman"/>
        </w:rPr>
        <w:t>The analysis reveals a growing trend in NIH funding for epilepsy research, with NINDS as the largest funder and R01 grants as the most funded activity type. The findings align with existing literature and emphasize the importance of targeting key institutes and aligning proposals with NIH’s funding priorities. Recommendations for Grik Therapeutics include focusing on key funding sources, emphasizing R01 grant proposals, exploring strategic partnerships, and leveraging predictive insights to enhance funding strategies.</w:t>
      </w:r>
    </w:p>
    <w:p w14:paraId="250E38F1" w14:textId="4F9B91E8" w:rsidR="185E4B97" w:rsidRDefault="185E4B97" w:rsidP="6B9F2809">
      <w:pPr>
        <w:pStyle w:val="Heading4"/>
        <w:spacing w:before="319" w:after="319" w:line="360" w:lineRule="auto"/>
        <w:jc w:val="both"/>
        <w:rPr>
          <w:rFonts w:ascii="Times New Roman" w:eastAsia="Times New Roman" w:hAnsi="Times New Roman" w:cs="Times New Roman"/>
          <w:b/>
          <w:bCs/>
        </w:rPr>
      </w:pPr>
      <w:r w:rsidRPr="6B9F2809">
        <w:rPr>
          <w:rFonts w:ascii="Times New Roman" w:eastAsia="Times New Roman" w:hAnsi="Times New Roman" w:cs="Times New Roman"/>
          <w:b/>
          <w:bCs/>
        </w:rPr>
        <w:lastRenderedPageBreak/>
        <w:t>Dashboard</w:t>
      </w:r>
    </w:p>
    <w:p w14:paraId="5203BD7E" w14:textId="2D91FBD9" w:rsidR="6B9F2809" w:rsidRDefault="185E4B97" w:rsidP="00CA27CA">
      <w:pPr>
        <w:spacing w:before="240" w:after="240" w:line="360" w:lineRule="auto"/>
        <w:jc w:val="both"/>
        <w:rPr>
          <w:rFonts w:ascii="Times New Roman" w:eastAsia="Times New Roman" w:hAnsi="Times New Roman" w:cs="Times New Roman"/>
        </w:rPr>
      </w:pPr>
      <w:r w:rsidRPr="6B9F2809">
        <w:rPr>
          <w:rFonts w:ascii="Times New Roman" w:eastAsia="Times New Roman" w:hAnsi="Times New Roman" w:cs="Times New Roman"/>
        </w:rPr>
        <w:t xml:space="preserve">The live interactive dashboard, accessible at </w:t>
      </w:r>
      <w:hyperlink r:id="rId8">
        <w:r w:rsidRPr="6B9F2809">
          <w:rPr>
            <w:rStyle w:val="Hyperlink"/>
            <w:rFonts w:ascii="Times New Roman" w:eastAsia="Times New Roman" w:hAnsi="Times New Roman" w:cs="Times New Roman"/>
          </w:rPr>
          <w:t>NIH Funding Analysis Dashboard</w:t>
        </w:r>
      </w:hyperlink>
      <w:r w:rsidRPr="6B9F2809">
        <w:rPr>
          <w:rFonts w:ascii="Times New Roman" w:eastAsia="Times New Roman" w:hAnsi="Times New Roman" w:cs="Times New Roman"/>
        </w:rPr>
        <w:t>, serves as a comprehensive tool for visualizing and analyzing NIH funding trends and network collaborations. It includes two main tabs: Exploratory Analysis and Network Analysis, each providing unique insights into the funding landscape.</w:t>
      </w:r>
    </w:p>
    <w:sectPr w:rsidR="6B9F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033BB"/>
    <w:multiLevelType w:val="hybridMultilevel"/>
    <w:tmpl w:val="E0AE08EE"/>
    <w:lvl w:ilvl="0" w:tplc="EE641FC2">
      <w:start w:val="1"/>
      <w:numFmt w:val="decimal"/>
      <w:lvlText w:val="%1."/>
      <w:lvlJc w:val="left"/>
      <w:pPr>
        <w:ind w:left="720" w:hanging="360"/>
      </w:pPr>
    </w:lvl>
    <w:lvl w:ilvl="1" w:tplc="AAF64320">
      <w:start w:val="1"/>
      <w:numFmt w:val="lowerLetter"/>
      <w:lvlText w:val="%2."/>
      <w:lvlJc w:val="left"/>
      <w:pPr>
        <w:ind w:left="1440" w:hanging="360"/>
      </w:pPr>
    </w:lvl>
    <w:lvl w:ilvl="2" w:tplc="717E7A10">
      <w:start w:val="1"/>
      <w:numFmt w:val="lowerRoman"/>
      <w:lvlText w:val="%3."/>
      <w:lvlJc w:val="right"/>
      <w:pPr>
        <w:ind w:left="2160" w:hanging="180"/>
      </w:pPr>
    </w:lvl>
    <w:lvl w:ilvl="3" w:tplc="1772BD92">
      <w:start w:val="1"/>
      <w:numFmt w:val="decimal"/>
      <w:lvlText w:val="%4."/>
      <w:lvlJc w:val="left"/>
      <w:pPr>
        <w:ind w:left="2880" w:hanging="360"/>
      </w:pPr>
    </w:lvl>
    <w:lvl w:ilvl="4" w:tplc="42CAB980">
      <w:start w:val="1"/>
      <w:numFmt w:val="lowerLetter"/>
      <w:lvlText w:val="%5."/>
      <w:lvlJc w:val="left"/>
      <w:pPr>
        <w:ind w:left="3600" w:hanging="360"/>
      </w:pPr>
    </w:lvl>
    <w:lvl w:ilvl="5" w:tplc="E750A274">
      <w:start w:val="1"/>
      <w:numFmt w:val="lowerRoman"/>
      <w:lvlText w:val="%6."/>
      <w:lvlJc w:val="right"/>
      <w:pPr>
        <w:ind w:left="4320" w:hanging="180"/>
      </w:pPr>
    </w:lvl>
    <w:lvl w:ilvl="6" w:tplc="A4FCF2C6">
      <w:start w:val="1"/>
      <w:numFmt w:val="decimal"/>
      <w:lvlText w:val="%7."/>
      <w:lvlJc w:val="left"/>
      <w:pPr>
        <w:ind w:left="5040" w:hanging="360"/>
      </w:pPr>
    </w:lvl>
    <w:lvl w:ilvl="7" w:tplc="18A0F9FA">
      <w:start w:val="1"/>
      <w:numFmt w:val="lowerLetter"/>
      <w:lvlText w:val="%8."/>
      <w:lvlJc w:val="left"/>
      <w:pPr>
        <w:ind w:left="5760" w:hanging="360"/>
      </w:pPr>
    </w:lvl>
    <w:lvl w:ilvl="8" w:tplc="8616882C">
      <w:start w:val="1"/>
      <w:numFmt w:val="lowerRoman"/>
      <w:lvlText w:val="%9."/>
      <w:lvlJc w:val="right"/>
      <w:pPr>
        <w:ind w:left="6480" w:hanging="180"/>
      </w:pPr>
    </w:lvl>
  </w:abstractNum>
  <w:abstractNum w:abstractNumId="1" w15:restartNumberingAfterBreak="0">
    <w:nsid w:val="723132AC"/>
    <w:multiLevelType w:val="hybridMultilevel"/>
    <w:tmpl w:val="589A91AA"/>
    <w:lvl w:ilvl="0" w:tplc="CD642542">
      <w:start w:val="1"/>
      <w:numFmt w:val="bullet"/>
      <w:lvlText w:val=""/>
      <w:lvlJc w:val="left"/>
      <w:pPr>
        <w:ind w:left="720" w:hanging="360"/>
      </w:pPr>
      <w:rPr>
        <w:rFonts w:ascii="Symbol" w:hAnsi="Symbol" w:hint="default"/>
      </w:rPr>
    </w:lvl>
    <w:lvl w:ilvl="1" w:tplc="CF048BC2">
      <w:start w:val="1"/>
      <w:numFmt w:val="bullet"/>
      <w:lvlText w:val=""/>
      <w:lvlJc w:val="left"/>
      <w:pPr>
        <w:ind w:left="1440" w:hanging="360"/>
      </w:pPr>
      <w:rPr>
        <w:rFonts w:ascii="Symbol" w:hAnsi="Symbol" w:hint="default"/>
      </w:rPr>
    </w:lvl>
    <w:lvl w:ilvl="2" w:tplc="2916BC98">
      <w:start w:val="1"/>
      <w:numFmt w:val="bullet"/>
      <w:lvlText w:val=""/>
      <w:lvlJc w:val="left"/>
      <w:pPr>
        <w:ind w:left="2160" w:hanging="360"/>
      </w:pPr>
      <w:rPr>
        <w:rFonts w:ascii="Wingdings" w:hAnsi="Wingdings" w:hint="default"/>
      </w:rPr>
    </w:lvl>
    <w:lvl w:ilvl="3" w:tplc="AC6C51C8">
      <w:start w:val="1"/>
      <w:numFmt w:val="bullet"/>
      <w:lvlText w:val=""/>
      <w:lvlJc w:val="left"/>
      <w:pPr>
        <w:ind w:left="2880" w:hanging="360"/>
      </w:pPr>
      <w:rPr>
        <w:rFonts w:ascii="Symbol" w:hAnsi="Symbol" w:hint="default"/>
      </w:rPr>
    </w:lvl>
    <w:lvl w:ilvl="4" w:tplc="B548074E">
      <w:start w:val="1"/>
      <w:numFmt w:val="bullet"/>
      <w:lvlText w:val="o"/>
      <w:lvlJc w:val="left"/>
      <w:pPr>
        <w:ind w:left="3600" w:hanging="360"/>
      </w:pPr>
      <w:rPr>
        <w:rFonts w:ascii="Courier New" w:hAnsi="Courier New" w:hint="default"/>
      </w:rPr>
    </w:lvl>
    <w:lvl w:ilvl="5" w:tplc="94C02CBE">
      <w:start w:val="1"/>
      <w:numFmt w:val="bullet"/>
      <w:lvlText w:val=""/>
      <w:lvlJc w:val="left"/>
      <w:pPr>
        <w:ind w:left="4320" w:hanging="360"/>
      </w:pPr>
      <w:rPr>
        <w:rFonts w:ascii="Wingdings" w:hAnsi="Wingdings" w:hint="default"/>
      </w:rPr>
    </w:lvl>
    <w:lvl w:ilvl="6" w:tplc="DE18CE76">
      <w:start w:val="1"/>
      <w:numFmt w:val="bullet"/>
      <w:lvlText w:val=""/>
      <w:lvlJc w:val="left"/>
      <w:pPr>
        <w:ind w:left="5040" w:hanging="360"/>
      </w:pPr>
      <w:rPr>
        <w:rFonts w:ascii="Symbol" w:hAnsi="Symbol" w:hint="default"/>
      </w:rPr>
    </w:lvl>
    <w:lvl w:ilvl="7" w:tplc="04127198">
      <w:start w:val="1"/>
      <w:numFmt w:val="bullet"/>
      <w:lvlText w:val="o"/>
      <w:lvlJc w:val="left"/>
      <w:pPr>
        <w:ind w:left="5760" w:hanging="360"/>
      </w:pPr>
      <w:rPr>
        <w:rFonts w:ascii="Courier New" w:hAnsi="Courier New" w:hint="default"/>
      </w:rPr>
    </w:lvl>
    <w:lvl w:ilvl="8" w:tplc="30EE8A1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yNTI3tDQxszA0szBT0lEKTi0uzszPAykwrAUANCbewCwAAAA="/>
  </w:docVars>
  <w:rsids>
    <w:rsidRoot w:val="6DAE385C"/>
    <w:rsid w:val="00CA27CA"/>
    <w:rsid w:val="0F1E6E4D"/>
    <w:rsid w:val="185E4B97"/>
    <w:rsid w:val="4B601269"/>
    <w:rsid w:val="55AD62C7"/>
    <w:rsid w:val="5ADCCE38"/>
    <w:rsid w:val="6B9F2809"/>
    <w:rsid w:val="6DAE3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8B15"/>
  <w15:chartTrackingRefBased/>
  <w15:docId w15:val="{4DC3E073-8E17-4176-9BD3-122B9E7A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epilepsy-funding-research-dashboard.onrender.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2302581C046844871081667C8993E1" ma:contentTypeVersion="4" ma:contentTypeDescription="Create a new document." ma:contentTypeScope="" ma:versionID="367ebda9b4dde071a7721ec8926b4149">
  <xsd:schema xmlns:xsd="http://www.w3.org/2001/XMLSchema" xmlns:xs="http://www.w3.org/2001/XMLSchema" xmlns:p="http://schemas.microsoft.com/office/2006/metadata/properties" xmlns:ns2="6d8d74e1-556d-49a1-b907-9abaccd3fe84" targetNamespace="http://schemas.microsoft.com/office/2006/metadata/properties" ma:root="true" ma:fieldsID="41c7d51c955ee7f34e1d706ce682a72d" ns2:_="">
    <xsd:import namespace="6d8d74e1-556d-49a1-b907-9abaccd3fe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8d74e1-556d-49a1-b907-9abaccd3fe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2F2615-8038-4F43-B039-6DC18D80BF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C39B0A-AD96-4976-AD07-484FCC586159}">
  <ds:schemaRefs>
    <ds:schemaRef ds:uri="http://schemas.microsoft.com/sharepoint/v3/contenttype/forms"/>
  </ds:schemaRefs>
</ds:datastoreItem>
</file>

<file path=customXml/itemProps3.xml><?xml version="1.0" encoding="utf-8"?>
<ds:datastoreItem xmlns:ds="http://schemas.openxmlformats.org/officeDocument/2006/customXml" ds:itemID="{B4A35B6D-700A-46E6-BA3B-65DACD258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8d74e1-556d-49a1-b907-9abaccd3fe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Himanshu Shah</dc:creator>
  <cp:keywords/>
  <dc:description/>
  <cp:lastModifiedBy>Nihar Shah</cp:lastModifiedBy>
  <cp:revision>2</cp:revision>
  <dcterms:created xsi:type="dcterms:W3CDTF">2024-06-30T03:04:00Z</dcterms:created>
  <dcterms:modified xsi:type="dcterms:W3CDTF">2024-06-30T20:25:00Z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0x0101008F2302581C046844871081667C8993E1</vt:lpwstr>
  </property>
</Properties>
</file>