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BUSINESS REPORT: SALES FORECASTING &amp; INVENTORY OPTIMIZATION</w:t>
      </w:r>
    </w:p>
    <w:p>
      <w:r>
        <w:rPr>
          <w:b/>
        </w:rPr>
        <w:t>Prepared for: Head of Supply Chain &amp; Chief Financial Officer</w:t>
        <w:br/>
      </w:r>
      <w:r>
        <w:t>Subject: Quarterly Sales Forecasting, Anomaly Detection &amp; Product Segmentation</w:t>
        <w:br/>
      </w:r>
      <w:r>
        <w:t>Date: July 7, 2026</w:t>
        <w:br/>
      </w:r>
      <w:r>
        <w:t>Prepared by: Operations Analytics Team</w:t>
        <w:br/>
      </w:r>
    </w:p>
    <w:p>
      <w:pPr>
        <w:pStyle w:val="Heading1"/>
      </w:pPr>
      <w:r>
        <w:t>1. Executive Summary</w:t>
      </w:r>
    </w:p>
    <w:p>
      <w:r>
        <w:t>This report outlines a data-driven approach to optimize the company's supply chain and financial planning using historical sales data from the Superstore dataset (2015–2018). By leveraging advanced predictive machine learning (XGBoost), we have generated a high-accuracy 3-month sales forecast with an expected margin of error of approximately 10.6%. Our analysis identified critical weekly sales anomalies linked to seasonal promotional surges, as well as distinct product demand segments. Notably, only the East Region shows strong upcoming growth (+18.3%), while other categories and regions are entering a lower sales cycle. We recommend redirecting marketing and inventory capital to the East, implementing Just-In-Time replenishment for stable commodities, and maintaining safety stock buffers for volatile premium items.</w:t>
      </w:r>
    </w:p>
    <w:p>
      <w:pPr>
        <w:pStyle w:val="Heading1"/>
      </w:pPr>
      <w:r>
        <w:t>2. Key Findings from EDA and Forecasting</w:t>
      </w:r>
    </w:p>
    <w:p>
      <w:pPr>
        <w:pStyle w:val="Heading2"/>
      </w:pPr>
      <w:r>
        <w:t>Seasonality and Sales Cycles</w:t>
      </w:r>
    </w:p>
    <w:p>
      <w:r>
        <w:t>Historical data reveals a strong annual sales pattern. The business experiences its lowest sales volumes in the first quarter (particularly February), followed by a steady recovery in the spring, and a massive peak during the holiday shopping season in November and December. This peak is driven by corporate year-end procurement and consumer holiday retail demand.</w:t>
      </w:r>
    </w:p>
    <w:p>
      <w:pPr>
        <w:pStyle w:val="Heading2"/>
      </w:pPr>
      <w:r>
        <w:t>Segment Divergence</w:t>
      </w:r>
    </w:p>
    <w:p>
      <w:r>
        <w:t>Sales growth is highly uneven across business units. The East Region exhibits stable, growing demand, while the West Region and Furniture Category are projected to experience significant contractions in the upcoming quarter. This divergence underscores the need for localized inventory management rather than a uniform, nation-wide strategy.</w:t>
      </w:r>
    </w:p>
    <w:p>
      <w:pPr>
        <w:pStyle w:val="Heading1"/>
      </w:pPr>
      <w:r>
        <w:t>3. Three-Month Sales Forecast &amp; Confidence Ranges</w:t>
      </w:r>
    </w:p>
    <w:p>
      <w:r>
        <w:t>Using our best-performing predictive model, we projected sales for the next three months (January – March 2019). Based on validation testing, the model has an expected margin of error of 10.66%. The forecasted values and operational confidence ranges are as follows:</w:t>
      </w:r>
    </w:p>
    <w:p>
      <w:pPr>
        <w:pStyle w:val="ListBullet"/>
      </w:pPr>
      <w:r>
        <w:rPr>
          <w:b/>
        </w:rPr>
        <w:t xml:space="preserve">January 2019: </w:t>
      </w:r>
      <w:r>
        <w:t xml:space="preserve">Forecasted Sales of </w:t>
      </w:r>
      <w:r>
        <w:rPr>
          <w:b/>
        </w:rPr>
        <w:t>$26,022.51</w:t>
      </w:r>
      <w:r>
        <w:t xml:space="preserve"> (Expected Range: </w:t>
      </w:r>
      <w:r>
        <w:rPr>
          <w:i/>
        </w:rPr>
        <w:t>$23,248 to $28,797</w:t>
      </w:r>
      <w:r>
        <w:t>). This represents a typical post-holiday dip.</w:t>
      </w:r>
    </w:p>
    <w:p>
      <w:pPr>
        <w:pStyle w:val="ListBullet"/>
      </w:pPr>
      <w:r>
        <w:rPr>
          <w:b/>
        </w:rPr>
        <w:t xml:space="preserve">February 2019: </w:t>
      </w:r>
      <w:r>
        <w:t xml:space="preserve">Forecasted Sales of </w:t>
      </w:r>
      <w:r>
        <w:rPr>
          <w:b/>
        </w:rPr>
        <w:t>$24,787.58</w:t>
      </w:r>
      <w:r>
        <w:t xml:space="preserve"> (Expected Range: </w:t>
      </w:r>
      <w:r>
        <w:rPr>
          <w:i/>
        </w:rPr>
        <w:t>$22,145 to $27,430</w:t>
      </w:r>
      <w:r>
        <w:t>). This is projected to be the lowest sales month of the quarter, in line with annual trends.</w:t>
      </w:r>
    </w:p>
    <w:p>
      <w:pPr>
        <w:pStyle w:val="ListBullet"/>
      </w:pPr>
      <w:r>
        <w:rPr>
          <w:b/>
        </w:rPr>
        <w:t xml:space="preserve">March 2019: </w:t>
      </w:r>
      <w:r>
        <w:t xml:space="preserve">Forecasted Sales of </w:t>
      </w:r>
      <w:r>
        <w:rPr>
          <w:b/>
        </w:rPr>
        <w:t>$35,064.25</w:t>
      </w:r>
      <w:r>
        <w:t xml:space="preserve"> (Expected Range: </w:t>
      </w:r>
      <w:r>
        <w:rPr>
          <w:i/>
        </w:rPr>
        <w:t>$31,326 to $38,802</w:t>
      </w:r>
      <w:r>
        <w:t>). This reflects a strong spring rebound driven by corporate fiscal Q1 procurement.</w:t>
      </w:r>
    </w:p>
    <w:p>
      <w:pPr>
        <w:pStyle w:val="Heading1"/>
      </w:pPr>
      <w:r>
        <w:t>4. Top 3 Sales Anomalies &amp; Real-World Causes</w:t>
      </w:r>
    </w:p>
    <w:p>
      <w:r>
        <w:t>Our anomaly detection system monitored weekly sales to flag weeks that deviated significantly from normal trends. The top three flagged anomalies include:</w:t>
      </w:r>
    </w:p>
    <w:p>
      <w:pPr>
        <w:pStyle w:val="ListBullet"/>
      </w:pPr>
      <w:r>
        <w:rPr>
          <w:b/>
        </w:rPr>
        <w:t xml:space="preserve">Week 46 of 2017 (November 13, 2017) – Spike of </w:t>
      </w:r>
      <w:r>
        <w:rPr>
          <w:b/>
        </w:rPr>
        <w:t>$16,230.49</w:t>
      </w:r>
      <w:r>
        <w:t>: This corresponds to the pre-Thanksgiving and early Black Friday promotional events, where steep discounts drive high transaction volumes.</w:t>
      </w:r>
    </w:p>
    <w:p>
      <w:pPr>
        <w:pStyle w:val="ListBullet"/>
      </w:pPr>
      <w:r>
        <w:rPr>
          <w:b/>
        </w:rPr>
        <w:t xml:space="preserve">Week 1 of 2018 (January 1, 2018) – Spike of </w:t>
      </w:r>
      <w:r>
        <w:rPr>
          <w:b/>
        </w:rPr>
        <w:t>$13,332.87</w:t>
      </w:r>
      <w:r>
        <w:t>: This spike represents post-holiday clearance sales, corporate fiscal Q1 procurement, and processing of delayed end-of-year transactions.</w:t>
      </w:r>
    </w:p>
    <w:p>
      <w:pPr>
        <w:pStyle w:val="ListBullet"/>
      </w:pPr>
      <w:r>
        <w:rPr>
          <w:b/>
        </w:rPr>
        <w:t xml:space="preserve">Week 20 of 2016 (May 17, 2016) – Severe Drop to </w:t>
      </w:r>
      <w:r>
        <w:rPr>
          <w:b/>
        </w:rPr>
        <w:t>$454.51</w:t>
      </w:r>
      <w:r>
        <w:t>: This represents an off-season procurement pause. Corporate buyers typically freeze budgets during mid-Q2, causing transaction volumes to contract briefly before summer promotions begin.</w:t>
      </w:r>
    </w:p>
    <w:p>
      <w:pPr>
        <w:pStyle w:val="Heading1"/>
      </w:pPr>
      <w:r>
        <w:t>5. Product Demand Segmentation &amp; Stocking Strategies</w:t>
      </w:r>
    </w:p>
    <w:p>
      <w:r>
        <w:t>We classified our fourteen product sub-categories into three distinct demand segments based on volume, volatility, YoY growth, and Average Order Value:</w:t>
      </w:r>
    </w:p>
    <w:p>
      <w:pPr>
        <w:pStyle w:val="ListBullet"/>
      </w:pPr>
      <w:r>
        <w:rPr>
          <w:b/>
        </w:rPr>
        <w:t>Segment 1: Stable, Low-Volume Commodities</w:t>
      </w:r>
      <w:r>
        <w:t xml:space="preserve"> (e.g. Appliances, Art, Fasteners, Labels, Paper). </w:t>
      </w:r>
      <w:r>
        <w:t xml:space="preserve">These sub-categories exhibit low sales volatility (average monthly variation of </w:t>
      </w:r>
      <w:r>
        <w:rPr>
          <w:b/>
        </w:rPr>
        <w:t>$230.75</w:t>
      </w:r>
      <w:r>
        <w:t xml:space="preserve">) and flat growth (+3%). </w:t>
      </w:r>
      <w:r>
        <w:rPr>
          <w:b/>
        </w:rPr>
        <w:t>Recommendation: Just-In-Time (JIT) replenishment</w:t>
      </w:r>
      <w:r>
        <w:t>. Maintain minimal safety stock and establish automated reorder points based on lead times to free up warehouse space.</w:t>
      </w:r>
    </w:p>
    <w:p>
      <w:pPr>
        <w:pStyle w:val="ListBullet"/>
      </w:pPr>
      <w:r>
        <w:rPr>
          <w:b/>
        </w:rPr>
        <w:t>Segment 2: Premium, High-Volume Drivers</w:t>
      </w:r>
      <w:r>
        <w:t xml:space="preserve"> (e.g. Accessories, Bookcases, Chairs, Copiers, Furnishings, Machines, Phones, Tables). </w:t>
      </w:r>
      <w:r>
        <w:t xml:space="preserve">These represent our primary revenue drivers, characterized by high sales volumes and high volatility (average variation of </w:t>
      </w:r>
      <w:r>
        <w:rPr>
          <w:b/>
        </w:rPr>
        <w:t>$1,660.61</w:t>
      </w:r>
      <w:r>
        <w:t xml:space="preserve">). </w:t>
      </w:r>
      <w:r>
        <w:rPr>
          <w:b/>
        </w:rPr>
        <w:t>Recommendation: Dynamic Safety Stock Buffers</w:t>
      </w:r>
      <w:r>
        <w:t>. Maintain a safety buffer of 2-3 weeks of sales to prevent expensive stockouts, and use monthly forecasts to pre-position inventory.</w:t>
      </w:r>
    </w:p>
    <w:p>
      <w:pPr>
        <w:pStyle w:val="ListBullet"/>
      </w:pPr>
      <w:r>
        <w:rPr>
          <w:b/>
        </w:rPr>
        <w:t>Segment 3: Hyper-Growth Outlier</w:t>
      </w:r>
      <w:r>
        <w:t xml:space="preserve"> (e.g. Binders). </w:t>
      </w:r>
      <w:r>
        <w:t xml:space="preserve">Binders is an outlier segment exhibiting extreme growth (Year-over-Year growth of </w:t>
      </w:r>
      <w:r>
        <w:rPr>
          <w:b/>
        </w:rPr>
        <w:t>+171.4%</w:t>
      </w:r>
      <w:r>
        <w:t xml:space="preserve">) but low order values ($109.91). </w:t>
      </w:r>
      <w:r>
        <w:rPr>
          <w:b/>
        </w:rPr>
        <w:t>Recommendation: Agile Replenishment &amp; Promotional Tracking</w:t>
      </w:r>
      <w:r>
        <w:t>. Dynamically scale safety stocks upward with the growth trend, and synchronize supply chains with marketing promotions.</w:t>
      </w:r>
    </w:p>
    <w:p>
      <w:pPr>
        <w:pStyle w:val="Heading1"/>
      </w:pPr>
      <w:r>
        <w:t>6. Strategic Business Recommendations</w:t>
      </w:r>
    </w:p>
    <w:p>
      <w:pPr>
        <w:pStyle w:val="ListBullet"/>
      </w:pPr>
      <w:r>
        <w:rPr>
          <w:b/>
        </w:rPr>
        <w:t xml:space="preserve">Prioritize Resource Allocation in the East Region: </w:t>
      </w:r>
      <w:r>
        <w:t xml:space="preserve">The East Region is the only major segment projected to grow next quarter, with a forecasted growth rate of </w:t>
      </w:r>
      <w:r>
        <w:rPr>
          <w:b/>
        </w:rPr>
        <w:t>+18.26%</w:t>
      </w:r>
      <w:r>
        <w:t xml:space="preserve"> (climbing from a historical average of $10,028.24 to $11,859.08). In contrast, the West Region is forecasted to contract by </w:t>
      </w:r>
      <w:r>
        <w:rPr>
          <w:b/>
        </w:rPr>
        <w:t>-45.39%</w:t>
      </w:r>
      <w:r>
        <w:t>. We recommend shifting marketing budgets and logistics capacity from the West to the East to capture this rising demand.</w:t>
      </w:r>
    </w:p>
    <w:p>
      <w:pPr>
        <w:pStyle w:val="ListBullet"/>
      </w:pPr>
      <w:r>
        <w:rPr>
          <w:b/>
        </w:rPr>
        <w:t xml:space="preserve">Implement JIT replenishment for Stable Commodities: </w:t>
      </w:r>
      <w:r>
        <w:t xml:space="preserve">Cluster 0 products (like Paper and Labels) show extremely stable monthly demand (average volatility is only </w:t>
      </w:r>
      <w:r>
        <w:rPr>
          <w:b/>
        </w:rPr>
        <w:t>$230.75</w:t>
      </w:r>
      <w:r>
        <w:t>). Implementing JIT replenishment will reduce capital lockup and holding costs, allowing warehouses to repurpose space for high-volume premium items.</w:t>
      </w:r>
    </w:p>
    <w:p>
      <w:pPr>
        <w:pStyle w:val="ListBullet"/>
      </w:pPr>
      <w:r>
        <w:rPr>
          <w:b/>
        </w:rPr>
        <w:t xml:space="preserve">Scale Up Inventory for the Binders Sub-Category: </w:t>
      </w:r>
      <w:r>
        <w:t xml:space="preserve">Binders has demonstrated a massive YoY sales expansion of </w:t>
      </w:r>
      <w:r>
        <w:rPr>
          <w:b/>
        </w:rPr>
        <w:t>+171.38%</w:t>
      </w:r>
      <w:r>
        <w:t>. Because of this rapid expansion, traditional stocking rules will lead to immediate stockouts. Inventory levels and supplier orders should be adjusted upwards by at least 150% compared to last year's baseline.</w:t>
      </w:r>
    </w:p>
    <w:p>
      <w:pPr>
        <w:pStyle w:val="Heading1"/>
      </w:pPr>
      <w:r>
        <w:t>7. System Limitations &amp; Risk Analysis</w:t>
      </w:r>
    </w:p>
    <w:p>
      <w:r>
        <w:t>While the XGBoost machine learning model provides high-accuracy forecasting (10.66% margin of error), the business must remain aware of an inherent limitation: the system is purely autoregressive and historical. It generates forecasts by learning from past sales lags and annual seasonal patterns. Consequently, the model cannot anticipate sudden external shocks—such as changes in macroeconomic policies, shipping disruptions, new competitor entry, or supplier price hikes—unless they have occurred regularly in the historical data. Supply chain leaders should use these forecasts as a baseline, but remain prepared to override them during unforeseen disruptions.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