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E419" w14:textId="77777777" w:rsidR="0026662B" w:rsidRPr="0050632D" w:rsidRDefault="0026662B" w:rsidP="0026662B">
      <w:pPr>
        <w:spacing w:before="100" w:beforeAutospacing="1" w:after="100" w:afterAutospacing="1" w:line="240" w:lineRule="auto"/>
        <w:outlineLvl w:val="1"/>
        <w:rPr>
          <w:rFonts w:ascii="Times New Roman" w:eastAsia="Times New Roman" w:hAnsi="Times New Roman" w:cs="Times New Roman"/>
          <w:b/>
          <w:bCs/>
          <w:color w:val="007BB8"/>
          <w:kern w:val="0"/>
          <w:sz w:val="36"/>
          <w:szCs w:val="36"/>
          <w14:ligatures w14:val="none"/>
        </w:rPr>
      </w:pPr>
      <w:r w:rsidRPr="0050632D">
        <w:rPr>
          <w:rFonts w:ascii="Times New Roman" w:eastAsia="Times New Roman" w:hAnsi="Times New Roman" w:cs="Times New Roman"/>
          <w:b/>
          <w:bCs/>
          <w:color w:val="007BB8"/>
          <w:kern w:val="0"/>
          <w:sz w:val="36"/>
          <w:szCs w:val="36"/>
          <w14:ligatures w14:val="none"/>
        </w:rPr>
        <w:t>Analytical Question</w:t>
      </w:r>
    </w:p>
    <w:p w14:paraId="28906728" w14:textId="674B568A" w:rsidR="0026662B" w:rsidRPr="0050632D" w:rsidRDefault="0026662B" w:rsidP="0026662B">
      <w:pPr>
        <w:spacing w:before="100" w:beforeAutospacing="1" w:after="100" w:afterAutospacing="1" w:line="240" w:lineRule="auto"/>
        <w:rPr>
          <w:rFonts w:ascii="Times New Roman" w:eastAsia="Times New Roman" w:hAnsi="Times New Roman" w:cs="Times New Roman"/>
          <w:color w:val="007BB8"/>
          <w:kern w:val="0"/>
          <w14:ligatures w14:val="none"/>
        </w:rPr>
      </w:pPr>
      <w:r w:rsidRPr="0050632D">
        <w:rPr>
          <w:rFonts w:ascii="Times New Roman" w:eastAsia="Times New Roman" w:hAnsi="Times New Roman" w:cs="Times New Roman"/>
          <w:color w:val="007BB8"/>
          <w:kern w:val="0"/>
          <w14:ligatures w14:val="none"/>
        </w:rPr>
        <w:t>To what extent does national wealth lead to equitable human development, and where does economic growth fail to reduce gender inequality?</w:t>
      </w:r>
    </w:p>
    <w:p w14:paraId="617C7386" w14:textId="2DCB5CD9" w:rsidR="0050632D" w:rsidRDefault="0050632D" w:rsidP="005063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32D">
        <w:rPr>
          <w:rFonts w:ascii="Times New Roman" w:eastAsia="Times New Roman" w:hAnsi="Times New Roman" w:cs="Times New Roman"/>
          <w:b/>
          <w:bCs/>
          <w:kern w:val="0"/>
          <w:sz w:val="27"/>
          <w:szCs w:val="27"/>
          <w14:ligatures w14:val="none"/>
        </w:rPr>
        <w:t>Chart 1: GDP vs Gender Development Index (GDI)</w:t>
      </w:r>
      <w:r w:rsidR="002134E5">
        <w:rPr>
          <w:rFonts w:ascii="Times New Roman" w:eastAsia="Times New Roman" w:hAnsi="Times New Roman" w:cs="Times New Roman"/>
          <w:b/>
          <w:bCs/>
          <w:kern w:val="0"/>
          <w:sz w:val="27"/>
          <w:szCs w:val="27"/>
          <w14:ligatures w14:val="none"/>
        </w:rPr>
        <w:t xml:space="preserve"> </w:t>
      </w:r>
      <w:r w:rsidR="00F97EFC">
        <w:rPr>
          <w:rFonts w:ascii="Times New Roman" w:eastAsia="Times New Roman" w:hAnsi="Times New Roman" w:cs="Times New Roman"/>
          <w:b/>
          <w:bCs/>
          <w:kern w:val="0"/>
          <w:sz w:val="27"/>
          <w:szCs w:val="27"/>
          <w14:ligatures w14:val="none"/>
        </w:rPr>
        <w:t>–</w:t>
      </w:r>
      <w:r w:rsidR="002134E5" w:rsidRPr="002134E5">
        <w:rPr>
          <w:rFonts w:ascii="Times New Roman" w:eastAsia="Times New Roman" w:hAnsi="Times New Roman" w:cs="Times New Roman"/>
          <w:b/>
          <w:bCs/>
          <w:kern w:val="0"/>
          <w:sz w:val="27"/>
          <w:szCs w:val="27"/>
          <w14:ligatures w14:val="none"/>
        </w:rPr>
        <w:t xml:space="preserve"> </w:t>
      </w:r>
      <w:r w:rsidR="002134E5">
        <w:rPr>
          <w:rFonts w:ascii="Times New Roman" w:eastAsia="Times New Roman" w:hAnsi="Times New Roman" w:cs="Times New Roman"/>
          <w:b/>
          <w:bCs/>
          <w:kern w:val="0"/>
          <w:sz w:val="27"/>
          <w:szCs w:val="27"/>
          <w14:ligatures w14:val="none"/>
        </w:rPr>
        <w:t>Tableau</w:t>
      </w:r>
    </w:p>
    <w:p w14:paraId="417F12F3" w14:textId="77777777" w:rsidR="00FF278D" w:rsidRDefault="00FF278D" w:rsidP="0050632D">
      <w:pPr>
        <w:spacing w:before="100" w:beforeAutospacing="1" w:after="100" w:afterAutospacing="1" w:line="240" w:lineRule="auto"/>
        <w:outlineLvl w:val="2"/>
      </w:pPr>
      <w:r w:rsidRPr="00FF278D">
        <w:rPr>
          <w:i/>
          <w:iCs/>
          <w:sz w:val="20"/>
          <w:szCs w:val="20"/>
        </w:rPr>
        <w:t>This visualization examines whether higher national income is associated with greater gender equality in development outcomes. Specifically, it explores whether economic growth contributes to closing gender gaps in education, health, and income, as measured by the Gender Development Index (GDI)</w:t>
      </w:r>
      <w:r>
        <w:t>.</w:t>
      </w:r>
    </w:p>
    <w:p w14:paraId="16A30BF8" w14:textId="7B247A91" w:rsidR="0050632D" w:rsidRPr="0050632D" w:rsidRDefault="0050632D" w:rsidP="005063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b/>
          <w:bCs/>
          <w:noProof/>
        </w:rPr>
        <w:drawing>
          <wp:inline distT="0" distB="0" distL="0" distR="0" wp14:anchorId="3CE02255" wp14:editId="3D1E69A9">
            <wp:extent cx="5943600" cy="4879975"/>
            <wp:effectExtent l="0" t="0" r="0" b="0"/>
            <wp:docPr id="728534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2661" name="Picture 7942826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879975"/>
                    </a:xfrm>
                    <a:prstGeom prst="rect">
                      <a:avLst/>
                    </a:prstGeom>
                  </pic:spPr>
                </pic:pic>
              </a:graphicData>
            </a:graphic>
          </wp:inline>
        </w:drawing>
      </w:r>
    </w:p>
    <w:p w14:paraId="3DE21C62" w14:textId="3CAD251F" w:rsidR="003F7D10" w:rsidRPr="0050632D" w:rsidRDefault="0050632D" w:rsidP="0050632D">
      <w:pPr>
        <w:spacing w:before="100" w:beforeAutospacing="1" w:after="100" w:afterAutospacing="1" w:line="240" w:lineRule="auto"/>
        <w:rPr>
          <w:rFonts w:ascii="Times New Roman" w:eastAsia="Times New Roman" w:hAnsi="Times New Roman" w:cs="Times New Roman"/>
          <w:kern w:val="0"/>
          <w14:ligatures w14:val="none"/>
        </w:rPr>
      </w:pPr>
      <w:r w:rsidRPr="0050632D">
        <w:rPr>
          <w:rFonts w:ascii="Times New Roman" w:eastAsia="Times New Roman" w:hAnsi="Times New Roman" w:cs="Times New Roman"/>
          <w:b/>
          <w:bCs/>
          <w:kern w:val="0"/>
          <w14:ligatures w14:val="none"/>
        </w:rPr>
        <w:t>What the Chart Shows</w:t>
      </w:r>
      <w:r w:rsidRPr="0050632D">
        <w:rPr>
          <w:rFonts w:ascii="Times New Roman" w:eastAsia="Times New Roman" w:hAnsi="Times New Roman" w:cs="Times New Roman"/>
          <w:kern w:val="0"/>
          <w14:ligatures w14:val="none"/>
        </w:rPr>
        <w:br/>
        <w:t xml:space="preserve">The scatterplot displays countries based on their GDP (log scale) and GDI values, with color representing income group and size representing population. </w:t>
      </w:r>
      <w:r w:rsidR="00FF278D" w:rsidRPr="00FF278D">
        <w:rPr>
          <w:rFonts w:ascii="Times New Roman" w:hAnsi="Times New Roman" w:cs="Times New Roman"/>
        </w:rPr>
        <w:t>Size encodes total population, revealing that demographic scale does not guarantee gender equality outcomes</w:t>
      </w:r>
      <w:r w:rsidR="00FF278D">
        <w:t xml:space="preserve">. </w:t>
      </w:r>
      <w:r w:rsidRPr="0050632D">
        <w:rPr>
          <w:rFonts w:ascii="Times New Roman" w:eastAsia="Times New Roman" w:hAnsi="Times New Roman" w:cs="Times New Roman"/>
          <w:kern w:val="0"/>
          <w14:ligatures w14:val="none"/>
        </w:rPr>
        <w:t xml:space="preserve">The chart shows a generally positive relationship between GDP and GDI, where higher-income countries tend to cluster near gender parity (GDI ≈ 1). However, there is still noticeable variation within income </w:t>
      </w:r>
      <w:r w:rsidRPr="0050632D">
        <w:rPr>
          <w:rFonts w:ascii="Times New Roman" w:eastAsia="Times New Roman" w:hAnsi="Times New Roman" w:cs="Times New Roman"/>
          <w:kern w:val="0"/>
          <w14:ligatures w14:val="none"/>
        </w:rPr>
        <w:lastRenderedPageBreak/>
        <w:t>groups, particularly among lower and middle-income countries, where several countries fall below the global average. Larger population countries also exhibit mixed outcomes, indicating that national scale does not guarantee gender equality.</w:t>
      </w:r>
    </w:p>
    <w:p w14:paraId="7445BF34" w14:textId="77777777" w:rsidR="0050632D" w:rsidRPr="0050632D" w:rsidRDefault="0050632D" w:rsidP="0050632D">
      <w:pPr>
        <w:spacing w:before="100" w:beforeAutospacing="1" w:after="100" w:afterAutospacing="1" w:line="240" w:lineRule="auto"/>
        <w:rPr>
          <w:rFonts w:ascii="Times New Roman" w:eastAsia="Times New Roman" w:hAnsi="Times New Roman" w:cs="Times New Roman"/>
          <w:kern w:val="0"/>
          <w14:ligatures w14:val="none"/>
        </w:rPr>
      </w:pPr>
      <w:r w:rsidRPr="0050632D">
        <w:rPr>
          <w:rFonts w:ascii="Times New Roman" w:eastAsia="Times New Roman" w:hAnsi="Times New Roman" w:cs="Times New Roman"/>
          <w:b/>
          <w:bCs/>
          <w:kern w:val="0"/>
          <w14:ligatures w14:val="none"/>
        </w:rPr>
        <w:t>Key Insight / Interpretation</w:t>
      </w:r>
      <w:r w:rsidRPr="0050632D">
        <w:rPr>
          <w:rFonts w:ascii="Times New Roman" w:eastAsia="Times New Roman" w:hAnsi="Times New Roman" w:cs="Times New Roman"/>
          <w:kern w:val="0"/>
          <w14:ligatures w14:val="none"/>
        </w:rPr>
        <w:br/>
        <w:t>The visualization suggests that while economic growth is associated with improvements in gender equality, it does not fully eliminate disparities. Even among wealthier nations, gender equality outcomes are not uniform. This indicates that structural, cultural, and policy factors beyond income play a significant role in shaping gender development. Therefore, economic growth alone is insufficient to fully close gender gaps in education and opportunity.</w:t>
      </w:r>
    </w:p>
    <w:p w14:paraId="0796C8F0" w14:textId="77777777" w:rsidR="003F7D10" w:rsidRPr="002134E5" w:rsidRDefault="003F7D10" w:rsidP="00213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EAB9FC2" w14:textId="1C5E1188" w:rsidR="003F7D10" w:rsidRDefault="0050632D" w:rsidP="00213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34E5">
        <w:rPr>
          <w:rFonts w:ascii="Times New Roman" w:eastAsia="Times New Roman" w:hAnsi="Times New Roman" w:cs="Times New Roman"/>
          <w:b/>
          <w:bCs/>
          <w:kern w:val="0"/>
          <w:sz w:val="27"/>
          <w:szCs w:val="27"/>
          <w14:ligatures w14:val="none"/>
        </w:rPr>
        <w:t>Chart 2 : Gender Equality Trends Over Time by Region</w:t>
      </w:r>
      <w:r w:rsidR="002134E5">
        <w:rPr>
          <w:rFonts w:ascii="Times New Roman" w:eastAsia="Times New Roman" w:hAnsi="Times New Roman" w:cs="Times New Roman"/>
          <w:b/>
          <w:bCs/>
          <w:kern w:val="0"/>
          <w:sz w:val="27"/>
          <w:szCs w:val="27"/>
          <w14:ligatures w14:val="none"/>
        </w:rPr>
        <w:t xml:space="preserve"> (Tableau)</w:t>
      </w:r>
    </w:p>
    <w:p w14:paraId="3C5558DF" w14:textId="169B51BE" w:rsidR="002134E5" w:rsidRPr="00F97EFC" w:rsidRDefault="00F97EFC" w:rsidP="00F97EFC">
      <w:pPr>
        <w:spacing w:before="100" w:beforeAutospacing="1" w:after="100" w:afterAutospacing="1" w:line="240" w:lineRule="auto"/>
        <w:outlineLvl w:val="2"/>
        <w:rPr>
          <w:rFonts w:ascii="Times New Roman" w:eastAsia="Times New Roman" w:hAnsi="Times New Roman" w:cs="Times New Roman"/>
          <w:b/>
          <w:bCs/>
          <w:i/>
          <w:iCs/>
          <w:kern w:val="0"/>
          <w:sz w:val="20"/>
          <w:szCs w:val="20"/>
          <w14:ligatures w14:val="none"/>
        </w:rPr>
      </w:pPr>
      <w:r w:rsidRPr="00F97EFC">
        <w:rPr>
          <w:i/>
          <w:iCs/>
          <w:sz w:val="20"/>
          <w:szCs w:val="20"/>
        </w:rPr>
        <w:t>This chart analyzes how gender equality, measured by the Gender Development Index (GDI), has changed over time across global regions. It helps assess whether progress in development has been consistent and whether gender gaps are narrowing across regions.</w:t>
      </w:r>
    </w:p>
    <w:p w14:paraId="2D733273" w14:textId="3763229F" w:rsidR="002134E5" w:rsidRDefault="002134E5" w:rsidP="0050632D">
      <w:pPr>
        <w:rPr>
          <w:b/>
          <w:bCs/>
        </w:rPr>
      </w:pPr>
      <w:r>
        <w:rPr>
          <w:b/>
          <w:bCs/>
          <w:noProof/>
        </w:rPr>
        <w:drawing>
          <wp:inline distT="0" distB="0" distL="0" distR="0" wp14:anchorId="7133F41E" wp14:editId="13D423C5">
            <wp:extent cx="5943600" cy="3876040"/>
            <wp:effectExtent l="0" t="0" r="0" b="0"/>
            <wp:docPr id="2147168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8406" name="Picture 21471684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6465AF31" w14:textId="2B6EC835" w:rsidR="002134E5" w:rsidRDefault="002134E5" w:rsidP="002134E5">
      <w:pPr>
        <w:pStyle w:val="NormalWeb"/>
      </w:pPr>
      <w:r>
        <w:br/>
      </w:r>
    </w:p>
    <w:p w14:paraId="2BFEDC9F" w14:textId="77777777" w:rsidR="002134E5" w:rsidRDefault="002134E5" w:rsidP="002134E5">
      <w:pPr>
        <w:pStyle w:val="NormalWeb"/>
      </w:pPr>
      <w:r>
        <w:rPr>
          <w:rStyle w:val="Strong"/>
        </w:rPr>
        <w:lastRenderedPageBreak/>
        <w:t>What the Chart Shows</w:t>
      </w:r>
      <w:r>
        <w:br/>
        <w:t>All regions show a gradual improvement in GDI from 1990 to recent years, indicating overall global progress in gender equality. However, clear regional differences remain. Europe &amp; Central Asia and Latin America &amp; Caribbean maintain the highest GDI levels throughout the period, approaching parity. In contrast, South Asia and Sub-Saharan Africa start at lower levels and, despite improvement, continue to lag behind other regions.</w:t>
      </w:r>
    </w:p>
    <w:p w14:paraId="6B627B54" w14:textId="77777777" w:rsidR="002134E5" w:rsidRDefault="002134E5" w:rsidP="002134E5">
      <w:pPr>
        <w:pStyle w:val="NormalWeb"/>
      </w:pPr>
      <w:r>
        <w:rPr>
          <w:rStyle w:val="Strong"/>
        </w:rPr>
        <w:t>Key Insight</w:t>
      </w:r>
      <w:r>
        <w:br/>
        <w:t>Although gender equality has improved over time, progress is uneven across regions. Higher-performing regions sustain near-equal development outcomes, while lower-performing regions improve more slowly and do not fully close the gap. This suggests that while development contributes to gender equality, regional and structural factors continue to limit convergence.</w:t>
      </w:r>
    </w:p>
    <w:p w14:paraId="3C222EDE" w14:textId="77777777" w:rsidR="002134E5" w:rsidRDefault="002134E5" w:rsidP="002134E5">
      <w:pPr>
        <w:pStyle w:val="NormalWeb"/>
      </w:pPr>
      <w:r>
        <w:rPr>
          <w:rStyle w:val="Strong"/>
        </w:rPr>
        <w:t>Connection to Overall Analysis</w:t>
      </w:r>
      <w:r>
        <w:br/>
        <w:t>This chart complements the GDP vs GDI analysis by adding a time dimension. While higher income is associated with better gender development, this visualization shows that growth alone does not eliminate disparities. Regional differences persist even as all regions improve, highlighting that economic growth is necessary but not sufficient to fully close gender gaps.</w:t>
      </w:r>
    </w:p>
    <w:p w14:paraId="21B30B34" w14:textId="77777777" w:rsidR="0050632D" w:rsidRDefault="0050632D" w:rsidP="0050632D">
      <w:pPr>
        <w:rPr>
          <w:b/>
          <w:bCs/>
        </w:rPr>
      </w:pPr>
    </w:p>
    <w:p w14:paraId="4089A8A0" w14:textId="26BF0659" w:rsidR="00141785" w:rsidRDefault="00E01C03" w:rsidP="00F97EFC">
      <w:pPr>
        <w:spacing w:before="100" w:beforeAutospacing="1" w:after="100" w:afterAutospacing="1" w:line="360" w:lineRule="auto"/>
        <w:outlineLvl w:val="1"/>
        <w:rPr>
          <w:rFonts w:ascii="Times New Roman" w:eastAsia="Times New Roman" w:hAnsi="Times New Roman" w:cs="Times New Roman"/>
          <w:i/>
          <w:iCs/>
          <w:kern w:val="0"/>
          <w:sz w:val="20"/>
          <w:szCs w:val="20"/>
          <w14:ligatures w14:val="none"/>
        </w:rPr>
      </w:pPr>
      <w:r w:rsidRPr="00E01C03">
        <w:rPr>
          <w:rFonts w:ascii="Times New Roman" w:eastAsia="Times New Roman" w:hAnsi="Times New Roman" w:cs="Times New Roman"/>
          <w:b/>
          <w:bCs/>
          <w:kern w:val="0"/>
          <w:sz w:val="27"/>
          <w:szCs w:val="27"/>
          <w14:ligatures w14:val="none"/>
        </w:rPr>
        <w:t>Chart 3: Gender Equality Varies Within Income Groups</w:t>
      </w:r>
      <w:r w:rsidRPr="00E01C03">
        <w:rPr>
          <w:rFonts w:ascii="Times New Roman" w:eastAsia="Times New Roman" w:hAnsi="Times New Roman" w:cs="Times New Roman"/>
          <w:b/>
          <w:bCs/>
          <w:kern w:val="0"/>
          <w:sz w:val="36"/>
          <w:szCs w:val="36"/>
          <w14:ligatures w14:val="none"/>
        </w:rPr>
        <w:t xml:space="preserve"> </w:t>
      </w:r>
      <w:r w:rsidRPr="00E01C03">
        <w:rPr>
          <w:rFonts w:ascii="Times New Roman" w:eastAsia="Times New Roman" w:hAnsi="Times New Roman" w:cs="Times New Roman"/>
          <w:b/>
          <w:bCs/>
          <w:kern w:val="0"/>
          <w:sz w:val="27"/>
          <w:szCs w:val="27"/>
          <w14:ligatures w14:val="none"/>
        </w:rPr>
        <w:t>(Python)</w:t>
      </w:r>
      <w:r w:rsidR="00141785">
        <w:br/>
      </w:r>
      <w:r w:rsidR="00141785" w:rsidRPr="00141785">
        <w:rPr>
          <w:rFonts w:ascii="Times New Roman" w:hAnsi="Times New Roman" w:cs="Times New Roman"/>
          <w:i/>
          <w:iCs/>
          <w:sz w:val="20"/>
          <w:szCs w:val="20"/>
        </w:rPr>
        <w:t>This visualization examines whether countries with similar income levels achieve similar gender equality outcomes, assessing whether economic wealth alone determines gender development.</w:t>
      </w:r>
    </w:p>
    <w:p w14:paraId="25383619" w14:textId="77777777" w:rsidR="00141785" w:rsidRPr="00F97EFC" w:rsidRDefault="00141785" w:rsidP="00F97EFC">
      <w:pPr>
        <w:spacing w:before="100" w:beforeAutospacing="1" w:after="100" w:afterAutospacing="1" w:line="360" w:lineRule="auto"/>
        <w:outlineLvl w:val="1"/>
        <w:rPr>
          <w:rFonts w:ascii="Times New Roman" w:eastAsia="Times New Roman" w:hAnsi="Times New Roman" w:cs="Times New Roman"/>
          <w:b/>
          <w:bCs/>
          <w:kern w:val="0"/>
          <w:sz w:val="27"/>
          <w:szCs w:val="27"/>
          <w14:ligatures w14:val="none"/>
        </w:rPr>
      </w:pPr>
    </w:p>
    <w:p w14:paraId="519BCD15" w14:textId="3268531D" w:rsidR="00F97EFC" w:rsidRDefault="00141785" w:rsidP="00F97EFC">
      <w:pPr>
        <w:spacing w:before="100" w:beforeAutospacing="1" w:after="100" w:afterAutospacing="1" w:line="240" w:lineRule="auto"/>
        <w:outlineLvl w:val="1"/>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i/>
          <w:iCs/>
          <w:noProof/>
          <w:kern w:val="0"/>
          <w:sz w:val="20"/>
          <w:szCs w:val="20"/>
        </w:rPr>
        <w:lastRenderedPageBreak/>
        <w:drawing>
          <wp:inline distT="0" distB="0" distL="0" distR="0" wp14:anchorId="67495507" wp14:editId="192F2EEF">
            <wp:extent cx="5943600" cy="3207385"/>
            <wp:effectExtent l="0" t="0" r="0" b="5715"/>
            <wp:docPr id="1044637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7323" name="Picture 1044637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14:paraId="5BAF19A7" w14:textId="77777777" w:rsidR="00F97EFC" w:rsidRPr="00F97EFC" w:rsidRDefault="00F97EFC" w:rsidP="00F97EFC">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p>
    <w:p w14:paraId="69CD117F" w14:textId="504A47DF" w:rsidR="00E01C03" w:rsidRPr="00E01C03" w:rsidRDefault="00E01C03" w:rsidP="00E01C03">
      <w:pPr>
        <w:spacing w:before="100" w:beforeAutospacing="1" w:after="100" w:afterAutospacing="1" w:line="240" w:lineRule="auto"/>
        <w:rPr>
          <w:rFonts w:ascii="Times New Roman" w:eastAsia="Times New Roman" w:hAnsi="Times New Roman" w:cs="Times New Roman"/>
          <w:kern w:val="0"/>
          <w14:ligatures w14:val="none"/>
        </w:rPr>
      </w:pPr>
      <w:r w:rsidRPr="00E01C03">
        <w:rPr>
          <w:rFonts w:ascii="Times New Roman" w:eastAsia="Times New Roman" w:hAnsi="Times New Roman" w:cs="Times New Roman"/>
          <w:b/>
          <w:bCs/>
          <w:kern w:val="0"/>
          <w14:ligatures w14:val="none"/>
        </w:rPr>
        <w:t>What the Chart Shows:</w:t>
      </w:r>
      <w:r w:rsidRPr="00E01C03">
        <w:rPr>
          <w:rFonts w:ascii="Times New Roman" w:eastAsia="Times New Roman" w:hAnsi="Times New Roman" w:cs="Times New Roman"/>
          <w:kern w:val="0"/>
          <w14:ligatures w14:val="none"/>
        </w:rPr>
        <w:br/>
      </w:r>
      <w:r w:rsidR="00141785" w:rsidRPr="00141785">
        <w:rPr>
          <w:rFonts w:ascii="Times New Roman" w:hAnsi="Times New Roman" w:cs="Times New Roman"/>
        </w:rPr>
        <w:t xml:space="preserve">The box plot shows that while higher-income countries generally have higher Gender Development Index (GDI) values, there is noticeable variation within each income group. Lower- and middle-income groups display a wider spread, indicating more inconsistent outcomes. In some cases, lower-income countries </w:t>
      </w:r>
      <w:r w:rsidR="00AF6250">
        <w:rPr>
          <w:rFonts w:ascii="Times New Roman" w:hAnsi="Times New Roman" w:cs="Times New Roman"/>
        </w:rPr>
        <w:t>approach</w:t>
      </w:r>
      <w:r w:rsidR="00141785" w:rsidRPr="00141785">
        <w:rPr>
          <w:rFonts w:ascii="Times New Roman" w:hAnsi="Times New Roman" w:cs="Times New Roman"/>
        </w:rPr>
        <w:t xml:space="preserve"> GDI levels</w:t>
      </w:r>
      <w:r w:rsidR="00AF6250">
        <w:rPr>
          <w:rFonts w:ascii="Times New Roman" w:hAnsi="Times New Roman" w:cs="Times New Roman"/>
        </w:rPr>
        <w:t xml:space="preserve"> seen in wealthier nations</w:t>
      </w:r>
      <w:r w:rsidR="00141785" w:rsidRPr="00141785">
        <w:rPr>
          <w:rFonts w:ascii="Times New Roman" w:hAnsi="Times New Roman" w:cs="Times New Roman"/>
        </w:rPr>
        <w:t>, while others lag significantly behind.</w:t>
      </w:r>
    </w:p>
    <w:p w14:paraId="7B25369C" w14:textId="52DC5325" w:rsidR="00E01C03" w:rsidRPr="00E01C03" w:rsidRDefault="00E01C03" w:rsidP="00E01C03">
      <w:pPr>
        <w:spacing w:before="100" w:beforeAutospacing="1" w:after="100" w:afterAutospacing="1" w:line="240" w:lineRule="auto"/>
        <w:rPr>
          <w:rFonts w:ascii="Times New Roman" w:eastAsia="Times New Roman" w:hAnsi="Times New Roman" w:cs="Times New Roman"/>
          <w:kern w:val="0"/>
          <w14:ligatures w14:val="none"/>
        </w:rPr>
      </w:pPr>
      <w:r w:rsidRPr="00E01C03">
        <w:rPr>
          <w:rFonts w:ascii="Times New Roman" w:eastAsia="Times New Roman" w:hAnsi="Times New Roman" w:cs="Times New Roman"/>
          <w:b/>
          <w:bCs/>
          <w:kern w:val="0"/>
          <w14:ligatures w14:val="none"/>
        </w:rPr>
        <w:t>Key Insight:</w:t>
      </w:r>
      <w:r w:rsidRPr="00E01C03">
        <w:rPr>
          <w:rFonts w:ascii="Times New Roman" w:eastAsia="Times New Roman" w:hAnsi="Times New Roman" w:cs="Times New Roman"/>
          <w:kern w:val="0"/>
          <w14:ligatures w14:val="none"/>
        </w:rPr>
        <w:br/>
      </w:r>
      <w:r w:rsidR="00141785" w:rsidRPr="00141785">
        <w:rPr>
          <w:rFonts w:ascii="Times New Roman" w:hAnsi="Times New Roman" w:cs="Times New Roman"/>
        </w:rPr>
        <w:t>The variation within income groups indicates that economic growth alone does not ensure gender equality. Differences in institutions, policies, and social conditions likely play a critical role in shaping gender development outcomes.</w:t>
      </w:r>
    </w:p>
    <w:p w14:paraId="252F986D" w14:textId="77777777" w:rsidR="00AD3F87" w:rsidRDefault="00AD3F87" w:rsidP="0050632D">
      <w:pPr>
        <w:rPr>
          <w:b/>
          <w:bCs/>
        </w:rPr>
      </w:pPr>
    </w:p>
    <w:p w14:paraId="0F87217D" w14:textId="4BC71BB6" w:rsidR="00E01C03" w:rsidRPr="00F97EFC" w:rsidRDefault="00E01C03" w:rsidP="00F97EFC">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E01C03">
        <w:rPr>
          <w:rFonts w:ascii="Times New Roman" w:eastAsia="Times New Roman" w:hAnsi="Times New Roman" w:cs="Times New Roman"/>
          <w:b/>
          <w:bCs/>
          <w:kern w:val="0"/>
          <w:sz w:val="27"/>
          <w:szCs w:val="27"/>
          <w14:ligatures w14:val="none"/>
        </w:rPr>
        <w:t>Chart 4: Progress in Gender Equality Differs Across Income Groups (Python)</w:t>
      </w:r>
      <w:r w:rsidRPr="00F97EFC">
        <w:rPr>
          <w:rFonts w:ascii="Times New Roman" w:eastAsia="Times New Roman" w:hAnsi="Times New Roman" w:cs="Times New Roman"/>
          <w:i/>
          <w:iCs/>
          <w:kern w:val="0"/>
          <w:sz w:val="20"/>
          <w:szCs w:val="20"/>
          <w14:ligatures w14:val="none"/>
        </w:rPr>
        <w:br/>
        <w:t>This chart evaluates how gender equality has evolved over time across different income levels, assessing whether economic growth leads to convergence in gender development.</w:t>
      </w:r>
    </w:p>
    <w:p w14:paraId="5E6C0F9E" w14:textId="77777777" w:rsidR="00F97EFC" w:rsidRDefault="00F97EFC" w:rsidP="00E01C0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482DC285" wp14:editId="45CCDCC8">
            <wp:extent cx="5943600" cy="3166745"/>
            <wp:effectExtent l="0" t="0" r="0" b="0"/>
            <wp:docPr id="60797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371" name="Picture 607973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4E1C7B05" w14:textId="4DEED4F1" w:rsidR="00E01C03" w:rsidRPr="00E01C03" w:rsidRDefault="00E01C03" w:rsidP="00E01C03">
      <w:pPr>
        <w:spacing w:before="100" w:beforeAutospacing="1" w:after="100" w:afterAutospacing="1" w:line="240" w:lineRule="auto"/>
        <w:rPr>
          <w:rFonts w:ascii="Times New Roman" w:eastAsia="Times New Roman" w:hAnsi="Times New Roman" w:cs="Times New Roman"/>
          <w:kern w:val="0"/>
          <w14:ligatures w14:val="none"/>
        </w:rPr>
      </w:pPr>
      <w:r w:rsidRPr="00E01C03">
        <w:rPr>
          <w:rFonts w:ascii="Times New Roman" w:eastAsia="Times New Roman" w:hAnsi="Times New Roman" w:cs="Times New Roman"/>
          <w:b/>
          <w:bCs/>
          <w:kern w:val="0"/>
          <w14:ligatures w14:val="none"/>
        </w:rPr>
        <w:t>What the Chart Shows:</w:t>
      </w:r>
      <w:r w:rsidRPr="00E01C03">
        <w:rPr>
          <w:rFonts w:ascii="Times New Roman" w:eastAsia="Times New Roman" w:hAnsi="Times New Roman" w:cs="Times New Roman"/>
          <w:kern w:val="0"/>
          <w14:ligatures w14:val="none"/>
        </w:rPr>
        <w:br/>
        <w:t>All income groups show improvement in GDI over time, indicating global progress. However, high-income countries start at higher levels and maintain their advantage, while lower-income countries improve more slowly and remain below higher-income groups.</w:t>
      </w:r>
    </w:p>
    <w:p w14:paraId="35A85B04" w14:textId="5AAC3F5F" w:rsidR="00E01C03" w:rsidRPr="00E01C03" w:rsidRDefault="00E01C03" w:rsidP="00E01C03">
      <w:pPr>
        <w:spacing w:before="100" w:beforeAutospacing="1" w:after="100" w:afterAutospacing="1" w:line="240" w:lineRule="auto"/>
        <w:rPr>
          <w:rFonts w:ascii="Times New Roman" w:eastAsia="Times New Roman" w:hAnsi="Times New Roman" w:cs="Times New Roman"/>
          <w:kern w:val="0"/>
          <w14:ligatures w14:val="none"/>
        </w:rPr>
      </w:pPr>
      <w:r w:rsidRPr="00E01C03">
        <w:rPr>
          <w:rFonts w:ascii="Times New Roman" w:eastAsia="Times New Roman" w:hAnsi="Times New Roman" w:cs="Times New Roman"/>
          <w:b/>
          <w:bCs/>
          <w:kern w:val="0"/>
          <w14:ligatures w14:val="none"/>
        </w:rPr>
        <w:t>Key Insight:</w:t>
      </w:r>
      <w:r w:rsidRPr="00E01C03">
        <w:rPr>
          <w:rFonts w:ascii="Times New Roman" w:eastAsia="Times New Roman" w:hAnsi="Times New Roman" w:cs="Times New Roman"/>
          <w:kern w:val="0"/>
          <w14:ligatures w14:val="none"/>
        </w:rPr>
        <w:br/>
        <w:t xml:space="preserve">Although economic growth </w:t>
      </w:r>
      <w:r w:rsidR="00AF6250">
        <w:rPr>
          <w:rFonts w:ascii="Times New Roman" w:eastAsia="Times New Roman" w:hAnsi="Times New Roman" w:cs="Times New Roman"/>
          <w:kern w:val="0"/>
          <w14:ligatures w14:val="none"/>
        </w:rPr>
        <w:t>improves</w:t>
      </w:r>
      <w:r w:rsidRPr="00E01C03">
        <w:rPr>
          <w:rFonts w:ascii="Times New Roman" w:eastAsia="Times New Roman" w:hAnsi="Times New Roman" w:cs="Times New Roman"/>
          <w:kern w:val="0"/>
          <w14:ligatures w14:val="none"/>
        </w:rPr>
        <w:t xml:space="preserve"> gender equality</w:t>
      </w:r>
      <w:r w:rsidR="00AF6250">
        <w:rPr>
          <w:rFonts w:ascii="Times New Roman" w:eastAsia="Times New Roman" w:hAnsi="Times New Roman" w:cs="Times New Roman"/>
          <w:kern w:val="0"/>
          <w14:ligatures w14:val="none"/>
        </w:rPr>
        <w:t xml:space="preserve"> outcome but does </w:t>
      </w:r>
      <w:r w:rsidRPr="00E01C03">
        <w:rPr>
          <w:rFonts w:ascii="Times New Roman" w:eastAsia="Times New Roman" w:hAnsi="Times New Roman" w:cs="Times New Roman"/>
          <w:kern w:val="0"/>
          <w14:ligatures w14:val="none"/>
        </w:rPr>
        <w:t xml:space="preserve">not </w:t>
      </w:r>
      <w:r w:rsidR="00AF6250">
        <w:rPr>
          <w:rFonts w:ascii="Times New Roman" w:eastAsia="Times New Roman" w:hAnsi="Times New Roman" w:cs="Times New Roman"/>
          <w:kern w:val="0"/>
          <w14:ligatures w14:val="none"/>
        </w:rPr>
        <w:t xml:space="preserve">lead to convergence across income groups. </w:t>
      </w:r>
      <w:r w:rsidRPr="00E01C03">
        <w:rPr>
          <w:rFonts w:ascii="Times New Roman" w:eastAsia="Times New Roman" w:hAnsi="Times New Roman" w:cs="Times New Roman"/>
          <w:kern w:val="0"/>
          <w14:ligatures w14:val="none"/>
        </w:rPr>
        <w:t>Persistent gaps across income groups highlight uneven progress and suggest that growth alone is insufficient to achieve equal outcomes.</w:t>
      </w:r>
    </w:p>
    <w:p w14:paraId="76679BC6" w14:textId="77777777" w:rsidR="00AF6250" w:rsidRDefault="00AF6250" w:rsidP="00AF6250">
      <w:pPr>
        <w:rPr>
          <w:b/>
          <w:bCs/>
        </w:rPr>
      </w:pPr>
    </w:p>
    <w:p w14:paraId="2790BA82" w14:textId="22C1087E" w:rsidR="00AF6250" w:rsidRPr="00AF6250" w:rsidRDefault="00AF6250" w:rsidP="00AF6250">
      <w:pPr>
        <w:spacing w:before="100" w:beforeAutospacing="1" w:after="100" w:afterAutospacing="1" w:line="240" w:lineRule="auto"/>
        <w:outlineLvl w:val="1"/>
        <w:rPr>
          <w:rFonts w:ascii="Times New Roman" w:eastAsia="Times New Roman" w:hAnsi="Times New Roman" w:cs="Times New Roman"/>
          <w:b/>
          <w:bCs/>
          <w:color w:val="007BB8"/>
          <w:kern w:val="0"/>
          <w:sz w:val="36"/>
          <w:szCs w:val="36"/>
          <w14:ligatures w14:val="none"/>
        </w:rPr>
      </w:pPr>
      <w:r w:rsidRPr="00AF6250">
        <w:rPr>
          <w:rFonts w:ascii="Times New Roman" w:eastAsia="Times New Roman" w:hAnsi="Times New Roman" w:cs="Times New Roman"/>
          <w:b/>
          <w:bCs/>
          <w:color w:val="007BB8"/>
          <w:kern w:val="0"/>
          <w:sz w:val="36"/>
          <w:szCs w:val="36"/>
          <w14:ligatures w14:val="none"/>
        </w:rPr>
        <w:t xml:space="preserve">CONCLUSION </w:t>
      </w:r>
    </w:p>
    <w:p w14:paraId="6EDEFB79" w14:textId="0C458A98" w:rsidR="00AF6250" w:rsidRPr="00AF6250" w:rsidRDefault="00AF6250" w:rsidP="00AF6250">
      <w:pPr>
        <w:rPr>
          <w:rFonts w:ascii="Times New Roman" w:hAnsi="Times New Roman" w:cs="Times New Roman"/>
          <w:b/>
          <w:bCs/>
        </w:rPr>
      </w:pPr>
      <w:r w:rsidRPr="00AF6250">
        <w:rPr>
          <w:rFonts w:ascii="Times New Roman" w:hAnsi="Times New Roman" w:cs="Times New Roman"/>
        </w:rPr>
        <w:t>Together, these findings show that while income is an important driver of gender development, it is not sufficient on its own, and targeted policies are required to achieve equitable outcomes.</w:t>
      </w:r>
    </w:p>
    <w:sectPr w:rsidR="00AF6250" w:rsidRPr="00AF62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330D"/>
    <w:multiLevelType w:val="hybridMultilevel"/>
    <w:tmpl w:val="3D6A8E62"/>
    <w:lvl w:ilvl="0" w:tplc="FA9E33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26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E8E"/>
    <w:rsid w:val="00141785"/>
    <w:rsid w:val="002134E5"/>
    <w:rsid w:val="00255889"/>
    <w:rsid w:val="0026662B"/>
    <w:rsid w:val="00293C93"/>
    <w:rsid w:val="003764A4"/>
    <w:rsid w:val="003800B9"/>
    <w:rsid w:val="003F7D10"/>
    <w:rsid w:val="0050632D"/>
    <w:rsid w:val="00737E8E"/>
    <w:rsid w:val="00785906"/>
    <w:rsid w:val="007F5B66"/>
    <w:rsid w:val="00A53683"/>
    <w:rsid w:val="00AD3F87"/>
    <w:rsid w:val="00AF6250"/>
    <w:rsid w:val="00BC6AB6"/>
    <w:rsid w:val="00C8042E"/>
    <w:rsid w:val="00CE7E2A"/>
    <w:rsid w:val="00E01C03"/>
    <w:rsid w:val="00E5503C"/>
    <w:rsid w:val="00E56E3F"/>
    <w:rsid w:val="00F97EFC"/>
    <w:rsid w:val="00FF278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6E00"/>
  <w15:chartTrackingRefBased/>
  <w15:docId w15:val="{DCB1226B-90A8-A34F-9EEA-97F8099B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7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7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7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E8E"/>
    <w:rPr>
      <w:rFonts w:eastAsiaTheme="majorEastAsia" w:cstheme="majorBidi"/>
      <w:color w:val="272727" w:themeColor="text1" w:themeTint="D8"/>
    </w:rPr>
  </w:style>
  <w:style w:type="paragraph" w:styleId="Title">
    <w:name w:val="Title"/>
    <w:basedOn w:val="Normal"/>
    <w:next w:val="Normal"/>
    <w:link w:val="TitleChar"/>
    <w:uiPriority w:val="10"/>
    <w:qFormat/>
    <w:rsid w:val="00737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E8E"/>
    <w:pPr>
      <w:spacing w:before="160"/>
      <w:jc w:val="center"/>
    </w:pPr>
    <w:rPr>
      <w:i/>
      <w:iCs/>
      <w:color w:val="404040" w:themeColor="text1" w:themeTint="BF"/>
    </w:rPr>
  </w:style>
  <w:style w:type="character" w:customStyle="1" w:styleId="QuoteChar">
    <w:name w:val="Quote Char"/>
    <w:basedOn w:val="DefaultParagraphFont"/>
    <w:link w:val="Quote"/>
    <w:uiPriority w:val="29"/>
    <w:rsid w:val="00737E8E"/>
    <w:rPr>
      <w:i/>
      <w:iCs/>
      <w:color w:val="404040" w:themeColor="text1" w:themeTint="BF"/>
    </w:rPr>
  </w:style>
  <w:style w:type="paragraph" w:styleId="ListParagraph">
    <w:name w:val="List Paragraph"/>
    <w:basedOn w:val="Normal"/>
    <w:uiPriority w:val="34"/>
    <w:qFormat/>
    <w:rsid w:val="00737E8E"/>
    <w:pPr>
      <w:ind w:left="720"/>
      <w:contextualSpacing/>
    </w:pPr>
  </w:style>
  <w:style w:type="character" w:styleId="IntenseEmphasis">
    <w:name w:val="Intense Emphasis"/>
    <w:basedOn w:val="DefaultParagraphFont"/>
    <w:uiPriority w:val="21"/>
    <w:qFormat/>
    <w:rsid w:val="00737E8E"/>
    <w:rPr>
      <w:i/>
      <w:iCs/>
      <w:color w:val="2F5496" w:themeColor="accent1" w:themeShade="BF"/>
    </w:rPr>
  </w:style>
  <w:style w:type="paragraph" w:styleId="IntenseQuote">
    <w:name w:val="Intense Quote"/>
    <w:basedOn w:val="Normal"/>
    <w:next w:val="Normal"/>
    <w:link w:val="IntenseQuoteChar"/>
    <w:uiPriority w:val="30"/>
    <w:qFormat/>
    <w:rsid w:val="00737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E8E"/>
    <w:rPr>
      <w:i/>
      <w:iCs/>
      <w:color w:val="2F5496" w:themeColor="accent1" w:themeShade="BF"/>
    </w:rPr>
  </w:style>
  <w:style w:type="character" w:styleId="IntenseReference">
    <w:name w:val="Intense Reference"/>
    <w:basedOn w:val="DefaultParagraphFont"/>
    <w:uiPriority w:val="32"/>
    <w:qFormat/>
    <w:rsid w:val="00737E8E"/>
    <w:rPr>
      <w:b/>
      <w:bCs/>
      <w:smallCaps/>
      <w:color w:val="2F5496" w:themeColor="accent1" w:themeShade="BF"/>
      <w:spacing w:val="5"/>
    </w:rPr>
  </w:style>
  <w:style w:type="character" w:styleId="Strong">
    <w:name w:val="Strong"/>
    <w:basedOn w:val="DefaultParagraphFont"/>
    <w:uiPriority w:val="22"/>
    <w:qFormat/>
    <w:rsid w:val="0026662B"/>
    <w:rPr>
      <w:b/>
      <w:bCs/>
    </w:rPr>
  </w:style>
  <w:style w:type="paragraph" w:styleId="NormalWeb">
    <w:name w:val="Normal (Web)"/>
    <w:basedOn w:val="Normal"/>
    <w:uiPriority w:val="99"/>
    <w:unhideWhenUsed/>
    <w:rsid w:val="002666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729</Words>
  <Characters>4441</Characters>
  <Application>Microsoft Office Word</Application>
  <DocSecurity>0</DocSecurity>
  <Lines>81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SHREYA.KARKI</dc:creator>
  <cp:keywords/>
  <dc:description/>
  <cp:lastModifiedBy>SHREYA.KARKI</cp:lastModifiedBy>
  <cp:revision>7</cp:revision>
  <dcterms:created xsi:type="dcterms:W3CDTF">2026-03-28T15:35:00Z</dcterms:created>
  <dcterms:modified xsi:type="dcterms:W3CDTF">2026-03-30T03:23:00Z</dcterms:modified>
</cp:coreProperties>
</file>