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color w:val="0F172A"/>
          <w:sz w:val="40"/>
        </w:rPr>
        <w:t>PKI-Based Trust Management for Peer-to-Peer File-Sharing and Social Networking Platforms</w:t>
      </w:r>
    </w:p>
    <w:p>
      <w:pPr>
        <w:spacing w:after="40"/>
        <w:jc w:val="center"/>
      </w:pPr>
      <w:r>
        <w:rPr>
          <w:rFonts w:ascii="Times New Roman" w:hAnsi="Times New Roman"/>
          <w:b/>
          <w:sz w:val="22"/>
        </w:rPr>
        <w:t>Shreyan Nayak (Registration No. 23BKT0039)</w:t>
        <w:br/>
      </w:r>
      <w:r>
        <w:rPr>
          <w:rFonts w:ascii="Times New Roman" w:hAnsi="Times New Roman"/>
          <w:i/>
          <w:sz w:val="19"/>
        </w:rPr>
        <w:t>School of Computer Science and Engineering (SCOPE)</w:t>
        <w:br/>
        <w:t>Vellore Institute of Technology (VIT), Chennai, Tamil Nadu, India</w:t>
        <w:br/>
      </w:r>
      <w:r>
        <w:rPr>
          <w:rFonts w:ascii="Times New Roman" w:hAnsi="Times New Roman"/>
          <w:color w:val="64748B"/>
          <w:sz w:val="17"/>
        </w:rPr>
        <w:t>Course Code: VL2026270102689 | Case Study Assessment CS1 | Project Baseline: v9.0-FINAL-FREEZE | October 9, 2026</w:t>
      </w:r>
    </w:p>
    <w:p>
      <w:pPr>
        <w:spacing w:after="120"/>
      </w:pPr>
    </w:p>
    <w:p>
      <w:pPr>
        <w:spacing w:after="80"/>
        <w:ind w:left="360" w:right="360"/>
        <w:jc w:val="both"/>
      </w:pPr>
      <w:r>
        <w:rPr>
          <w:rFonts w:ascii="Times New Roman" w:hAnsi="Times New Roman"/>
          <w:b/>
          <w:sz w:val="18"/>
        </w:rPr>
        <w:t xml:space="preserve">Abstract— </w:t>
      </w:r>
      <w:r>
        <w:rPr>
          <w:rFonts w:ascii="Times New Roman" w:hAnsi="Times New Roman"/>
          <w:i/>
          <w:sz w:val="18"/>
        </w:rPr>
        <w:t>Decentralized peer-to-peer (P2P) systems operating in the absence of centralized Certificate Authorities (CAs) face fundamental vulnerabilities to identity spoofing, Sybil multiplication, free-riding, strategic collusion, and malicious content distribution. While classical Public Key Infrastructure (PKI) enforces strict cryptographic identity bindings, its conventional hierarchical trust model introduces single points of failure and censorship vulnerabilities. Conversely, classical distributed reputation algorithms like EigenTrust compute global spectral trust vectors but assume unauthenticated feedback, leaving them exposed to feedback forgery, receipt grinding, and identity whitewashing. This paper presents a vertically integrated four-layer decentralized PKI trust management architecture designed for P2P file sharing and architecturally mapped to decentralized social networking. The system integrates: (1) self-certifying did:peer-style cryptographic identities with verifiable Hashcash proof-of-work (PoW) admission barriers; (2) a dynamic Web-of-Trust mesh PKI utilizing bounded vertex-disjoint path discovery up to four hops; (3) Evidence-Weighted EigenTrust (EW-EigenTrust v1.8), featuring three-tier cryptographic delivery verification, concave edge ceilings, exponential freshness decay, and dispute accounting; and (4) an m-of-n supernode threshold certificate revocation mechanism (3-of-5) combined with Shamir (3, 5) secret-shared master identity recovery. The reference implementation was evaluated across 1,140 paired benchmark trials spanning 20 random seeds and two network scales. Empirical findings reveal that while asymmetric evidence discounting suppresses colluder trust by 40.88% to 41.50% (p &lt; 10^-18) in leaky topologies where colluders interact with honest peers, internal edge ceilings fail to suppress closed colluding coalitions. Aggregate closed-coalition trust is dictated by external incoming flow in accordance with the derived Closed-Set Flow Identity (T_C = ((1 - a) / a) * F_{H -&gt; C}), formally refuting preregistered Hypothesis H-1 under receipt grinding. Furthermore, Merkle-based fault contradiction proofs enable efficient O(log N) arbiter verification of corrupted chunk deliveries without transferring full file payloads. We establish the evidentiary boundaries between empirical file-sharing validation, simulator oracle dependencies, and conceptual social-networking extensions.</w:t>
      </w:r>
    </w:p>
    <w:p>
      <w:pPr>
        <w:spacing w:after="240"/>
        <w:ind w:left="360" w:right="360"/>
        <w:jc w:val="both"/>
      </w:pPr>
      <w:r>
        <w:rPr>
          <w:rFonts w:ascii="Times New Roman" w:hAnsi="Times New Roman"/>
          <w:b/>
          <w:sz w:val="18"/>
        </w:rPr>
        <w:t xml:space="preserve">Index Terms— </w:t>
      </w:r>
      <w:r>
        <w:rPr>
          <w:rFonts w:ascii="Times New Roman" w:hAnsi="Times New Roman"/>
          <w:i/>
          <w:sz w:val="18"/>
        </w:rPr>
        <w:t>Decentralized Public Key Infrastructure, Web-of-Trust, EigenTrust, Peer-to-Peer File Sharing, Proof-of-Work, Threshold Cryptography, Merkle Inclusion Proofs, Collusion Resistance, Social Networking.</w:t>
      </w:r>
    </w:p>
    <w:p>
      <w:pPr>
        <w:keepNext/>
        <w:spacing w:before="280" w:after="80"/>
      </w:pPr>
      <w:r>
        <w:rPr>
          <w:rFonts w:ascii="Times New Roman" w:hAnsi="Times New Roman"/>
          <w:b/>
          <w:color w:val="0F172A"/>
          <w:sz w:val="22"/>
        </w:rPr>
        <w:t>I. INTRODUCTION</w:t>
      </w:r>
    </w:p>
    <w:p>
      <w:pPr>
        <w:spacing w:before="0" w:after="120" w:line="276" w:lineRule="auto"/>
        <w:jc w:val="both"/>
      </w:pPr>
      <w:r>
        <w:rPr>
          <w:rFonts w:ascii="Times New Roman" w:hAnsi="Times New Roman"/>
          <w:sz w:val="20"/>
        </w:rPr>
        <w:t>Decentralized peer-to-peer (P2P) file-sharing networks (e.g., BitTorrent, IPFS) and distributed social networking platforms (e.g., Nostr, Matrix, Mastodon) operate without central intermediaries. While eliminating centralized gatekeepers confers resilience against single points of failure, structural bottlenecking, and administrative censorship, it simultaneously deprives participants of authoritative identity verification and accountability. In open distributed networks, peers encounter unauthenticated participants under severe information asymmetry, exposing systems to identity spoofing, Sybil attacks, free-riding, malicious data poisoning, and strategic reputation inflation [1], [3].</w:t>
      </w:r>
    </w:p>
    <w:p>
      <w:pPr>
        <w:spacing w:before="0" w:after="120" w:line="276" w:lineRule="auto"/>
        <w:jc w:val="both"/>
      </w:pPr>
      <w:r>
        <w:rPr>
          <w:rFonts w:ascii="Times New Roman" w:hAnsi="Times New Roman"/>
          <w:sz w:val="20"/>
        </w:rPr>
        <w:t>In classical client-server and enterprise environments, Public Key Infrastructure (PKI) resolves identity authenticity through hierarchical Certificate Authorities (CAs). A relying party verifies arbitrary certificates by validating signature chains rooted in a trusted anchor. In decentralized networks, however, reliance on centralized CAs reintroduces single points of failure, single points of legal compromise, and administrative chokepoints that contradict decentralized fault tolerance. Conversely, distributed reputation management protocols—most notably the seminal EigenTrust algorithm [3]—aggregate local satisfaction ratings into global trust distributions via spectral power iteration. However, classical EigenTrust assumes honest rating submission and authentic transaction accounting. Without an underlying cryptographic identity layer, malicious peers can mass-produce zero-cost pseudonyms (Sybil attacks), fabricate unauthenticated transaction feedback, and execute receipt grinding to dominate spectral trust distributions [1], [3].</w:t>
      </w:r>
    </w:p>
    <w:p>
      <w:pPr>
        <w:spacing w:before="0" w:after="120" w:line="276" w:lineRule="auto"/>
        <w:jc w:val="both"/>
      </w:pPr>
      <w:r>
        <w:rPr>
          <w:rFonts w:ascii="Times New Roman" w:hAnsi="Times New Roman"/>
          <w:sz w:val="20"/>
        </w:rPr>
        <w:t>To resolve this architectural tension, this paper presents a unified, vertically integrated four-layer decentralized PKI trust framework. The primary research question investigated is: How can cryptographic identity assurance and distributed reputation management be synthesized into a decentralized architecture that bounds Sybil creation, authenticates transactions, suppresses collusion, and manages certificate lifecycles without centralized authorities?</w:t>
      </w:r>
    </w:p>
    <w:p>
      <w:pPr>
        <w:spacing w:before="0" w:after="120" w:line="276" w:lineRule="auto"/>
        <w:jc w:val="both"/>
      </w:pPr>
      <w:r>
        <w:rPr>
          <w:rFonts w:ascii="Times New Roman" w:hAnsi="Times New Roman"/>
          <w:sz w:val="20"/>
        </w:rPr>
        <w:t>This paper presents the formal specification, mathematical derivation, software implementation, and empirical benchmark evaluation of this architecture across 1,140 paired trials. Crucially, the paper establishes complete fidelity to scientific findings: documenting the formal refutation of preregistered Hypothesis H-1 under receipt grinding, deriving the Closed-Set Flow Identity, diagnosing the structural degeneracy of Scenario 7, and distinguishing implemented P2P file sharing from conceptual social-networking extensions.</w:t>
      </w:r>
    </w:p>
    <w:p>
      <w:pPr>
        <w:keepNext/>
        <w:spacing w:before="280" w:after="80"/>
      </w:pPr>
      <w:r>
        <w:rPr>
          <w:rFonts w:ascii="Times New Roman" w:hAnsi="Times New Roman"/>
          <w:b/>
          <w:color w:val="0F172A"/>
          <w:sz w:val="22"/>
        </w:rPr>
        <w:t>II. BACKGROUND AND RELATED WORK</w:t>
      </w:r>
    </w:p>
    <w:p>
      <w:pPr>
        <w:keepNext/>
        <w:spacing w:before="200" w:after="60"/>
      </w:pPr>
      <w:r>
        <w:rPr>
          <w:rFonts w:ascii="Times New Roman" w:hAnsi="Times New Roman"/>
          <w:b/>
          <w:i/>
          <w:color w:val="1E293B"/>
          <w:sz w:val="20"/>
        </w:rPr>
        <w:t>A. Decentralized Identity and Sybil Resistance</w:t>
      </w:r>
    </w:p>
    <w:p>
      <w:pPr>
        <w:spacing w:before="0" w:after="120" w:line="276" w:lineRule="auto"/>
        <w:jc w:val="both"/>
      </w:pPr>
      <w:r>
        <w:rPr>
          <w:rFonts w:ascii="Times New Roman" w:hAnsi="Times New Roman"/>
          <w:sz w:val="20"/>
        </w:rPr>
        <w:t>Self-certifying cryptographic identifiers derive an entity's network address directly from its public key, eliminating central registries. The Decentralized Identity Foundation (DIF) and W3C have standardized Decentralized Identifiers (DIDs) [2], [6]. In permissionless networks, however, public keys can be generated at negligible computational cost, enabling Sybil attacks wherein an adversary creates vast clusters of fake identities to compromise voting or reputation pools. To impose an economic admission barrier, Hashcash proof-of-work (PoW) [1] mandates that peers compute a cryptographic preimage whose hash satisfies a difficulty target d: H(DID || nonce) &lt; 2^(256 - d). Verifying this proof is O(1) (a single SHA-256 block compression), while generating it requires an expected O(2^d) hash trials, eliminating zero-cost identity generation.</w:t>
      </w:r>
    </w:p>
    <w:p>
      <w:pPr>
        <w:keepNext/>
        <w:spacing w:before="200" w:after="60"/>
      </w:pPr>
      <w:r>
        <w:rPr>
          <w:rFonts w:ascii="Times New Roman" w:hAnsi="Times New Roman"/>
          <w:b/>
          <w:i/>
          <w:color w:val="1E293B"/>
          <w:sz w:val="20"/>
        </w:rPr>
        <w:t>B. Web-of-Trust and Mesh PKI</w:t>
      </w:r>
    </w:p>
    <w:p>
      <w:pPr>
        <w:spacing w:before="0" w:after="120" w:line="276" w:lineRule="auto"/>
        <w:jc w:val="both"/>
      </w:pPr>
      <w:r>
        <w:rPr>
          <w:rFonts w:ascii="Times New Roman" w:hAnsi="Times New Roman"/>
          <w:sz w:val="20"/>
        </w:rPr>
        <w:t>Pioneered by Zimmermann in PGP [7], the Web-of-Trust (WoT) replaces hierarchical roots with peer-to-peer cross-certification. Peer A signs a statement attesting to the binding between peer B's public key and identity alias. In mesh topologies, verifying trust between strangers requires discovering multi-hop certificate chains. However, unconstrained transitive chaining permits distant, untrusted intermediaries to introduce malicious certifications. Foundational work by Maurer and Reiter established that transitive trust propagation requires bounded path lengths and disjoint paths to resist adversarial bridge insertion.</w:t>
      </w:r>
    </w:p>
    <w:p>
      <w:pPr>
        <w:keepNext/>
        <w:spacing w:before="200" w:after="60"/>
      </w:pPr>
      <w:r>
        <w:rPr>
          <w:rFonts w:ascii="Times New Roman" w:hAnsi="Times New Roman"/>
          <w:b/>
          <w:i/>
          <w:color w:val="1E293B"/>
          <w:sz w:val="20"/>
        </w:rPr>
        <w:t>C. Spectral Reputation and EigenTrust</w:t>
      </w:r>
    </w:p>
    <w:p>
      <w:pPr>
        <w:spacing w:before="0" w:after="120" w:line="276" w:lineRule="auto"/>
        <w:jc w:val="both"/>
      </w:pPr>
      <w:r>
        <w:rPr>
          <w:rFonts w:ascii="Times New Roman" w:hAnsi="Times New Roman"/>
          <w:sz w:val="20"/>
        </w:rPr>
        <w:t>The EigenTrust algorithm developed by Kamvar, Schlosser, and Garcia-Molina [3] computes global trust by modeling peer interactions as a discrete-time Markov chain. Given local normalized satisfaction matrix C where C_ij = max(S_ij, 0) / sum_k max(S_ik, 0), global trust vector t (sum t_i = 1) satisfies stationary power iteration: t = (1 - a) * C^T * t + a * p, where a in (0, 1) is a restart probability and p is a pre-trusted peer distribution (p_s = 1 / |S| for pre-trusted seeds S). While EigenTrust dampens isolated malicious nodes, strategic colluders who exchange high-volume positive ratings among themselves while obtaining external bridge edges can extract substantial global trust share.</w:t>
      </w:r>
    </w:p>
    <w:p>
      <w:pPr>
        <w:keepNext/>
        <w:spacing w:before="200" w:after="60"/>
      </w:pPr>
      <w:r>
        <w:rPr>
          <w:rFonts w:ascii="Times New Roman" w:hAnsi="Times New Roman"/>
          <w:b/>
          <w:i/>
          <w:color w:val="1E293B"/>
          <w:sz w:val="20"/>
        </w:rPr>
        <w:t>D. Cryptographic Fault Attribution and Merkle Trees</w:t>
      </w:r>
    </w:p>
    <w:p>
      <w:pPr>
        <w:spacing w:before="0" w:after="120" w:line="276" w:lineRule="auto"/>
        <w:jc w:val="both"/>
      </w:pPr>
      <w:r>
        <w:rPr>
          <w:rFonts w:ascii="Times New Roman" w:hAnsi="Times New Roman"/>
          <w:sz w:val="20"/>
        </w:rPr>
        <w:t>In content distribution, validating data authenticity without full file re-downloads relies on Merkle hash trees [4]. A file of N chunks is committed to a single 32-byte root hash. Downloaders verify chunk k by recomputing the root hash along a path of ceil(log2 N) sibling digests. Attributing delivery fraud requires binding the delivered chunk to a server-signed envelope that contradicts the published root.</w:t>
      </w:r>
    </w:p>
    <w:p>
      <w:pPr>
        <w:keepNext/>
        <w:spacing w:before="200" w:after="60"/>
      </w:pPr>
      <w:r>
        <w:rPr>
          <w:rFonts w:ascii="Times New Roman" w:hAnsi="Times New Roman"/>
          <w:b/>
          <w:i/>
          <w:color w:val="1E293B"/>
          <w:sz w:val="20"/>
        </w:rPr>
        <w:t>E. Threshold Key Recovery and Revocation</w:t>
      </w:r>
    </w:p>
    <w:p>
      <w:pPr>
        <w:spacing w:before="0" w:after="120" w:line="276" w:lineRule="auto"/>
        <w:jc w:val="both"/>
      </w:pPr>
      <w:r>
        <w:rPr>
          <w:rFonts w:ascii="Times New Roman" w:hAnsi="Times New Roman"/>
          <w:sz w:val="20"/>
        </w:rPr>
        <w:t>In CA-based PKI, revocation relies on centralized Certificate Revocation Lists (CRLs) or Online Certificate Status Protocol (OCSP) responders. In decentralized networks, revoking compromised keys requires distributed threshold signatures. Shamir's (k, n) secret sharing [5] over GF(256) enables a private seed to be split into n shares such that any k shares reconstruct the secret, enabling social or guardian-based identity recovery without a central custodian.</w:t>
      </w:r>
    </w:p>
    <w:p>
      <w:pPr>
        <w:keepNext/>
        <w:spacing w:before="280" w:after="80"/>
      </w:pPr>
      <w:r>
        <w:rPr>
          <w:rFonts w:ascii="Times New Roman" w:hAnsi="Times New Roman"/>
          <w:b/>
          <w:color w:val="0F172A"/>
          <w:sz w:val="22"/>
        </w:rPr>
        <w:t>III. PROBLEM FORMULATION AND THREAT MODEL</w:t>
      </w:r>
    </w:p>
    <w:p>
      <w:pPr>
        <w:keepNext/>
        <w:spacing w:before="200" w:after="60"/>
      </w:pPr>
      <w:r>
        <w:rPr>
          <w:rFonts w:ascii="Times New Roman" w:hAnsi="Times New Roman"/>
          <w:b/>
          <w:i/>
          <w:color w:val="1E293B"/>
          <w:sz w:val="20"/>
        </w:rPr>
        <w:t>A. System Model</w:t>
      </w:r>
    </w:p>
    <w:p>
      <w:pPr>
        <w:spacing w:before="0" w:after="120" w:line="276" w:lineRule="auto"/>
        <w:jc w:val="both"/>
      </w:pPr>
      <w:r>
        <w:rPr>
          <w:rFonts w:ascii="Times New Roman" w:hAnsi="Times New Roman"/>
          <w:sz w:val="20"/>
        </w:rPr>
        <w:t>The network consists of a dynamic set of peers V = H U C, partitioned into honest peers H (including pre-trusted supernodes S subset H) and adversarial peers C, such that H intersection C = empty set. Peers communicate over an asynchronous P2P overlay network. Content is partitioned into fixed-size chunks addressed by binary Merkle trees.</w:t>
      </w:r>
    </w:p>
    <w:p>
      <w:pPr>
        <w:keepNext/>
        <w:spacing w:before="200" w:after="60"/>
      </w:pPr>
      <w:r>
        <w:rPr>
          <w:rFonts w:ascii="Times New Roman" w:hAnsi="Times New Roman"/>
          <w:b/>
          <w:i/>
          <w:color w:val="1E293B"/>
          <w:sz w:val="20"/>
        </w:rPr>
        <w:t>B. Adversarial Threat Model</w:t>
      </w:r>
    </w:p>
    <w:p>
      <w:pPr>
        <w:spacing w:before="0" w:after="120" w:line="276" w:lineRule="auto"/>
        <w:jc w:val="both"/>
      </w:pPr>
      <w:r>
        <w:rPr>
          <w:rFonts w:ascii="Times New Roman" w:hAnsi="Times New Roman"/>
          <w:sz w:val="20"/>
        </w:rPr>
        <w:t>We consider an active, computationally bounded adversary controlling coalition C capable of coordinating malicious strategies: (1) Sybil attacks attempting to generate arbitrary identities; (2) strategic collusion rings exchanging synthetic ratings; (3) receipt grinding generating massive synthetic transaction volumes; (4) chunk poisoning serving corrupted data while filing fabricated slander complaints; and (5) key compromise or eclipse attacks attempting to isolate honest nodes.</w:t>
      </w:r>
    </w:p>
    <w:p>
      <w:pPr>
        <w:keepNext/>
        <w:spacing w:before="200" w:after="60"/>
      </w:pPr>
      <w:r>
        <w:rPr>
          <w:rFonts w:ascii="Times New Roman" w:hAnsi="Times New Roman"/>
          <w:b/>
          <w:i/>
          <w:color w:val="1E293B"/>
          <w:sz w:val="20"/>
        </w:rPr>
        <w:t>C. Security Objectives</w:t>
      </w:r>
    </w:p>
    <w:p>
      <w:pPr>
        <w:spacing w:before="0" w:after="120" w:line="276" w:lineRule="auto"/>
        <w:jc w:val="both"/>
      </w:pPr>
      <w:r>
        <w:rPr>
          <w:rFonts w:ascii="Times New Roman" w:hAnsi="Times New Roman"/>
          <w:sz w:val="20"/>
        </w:rPr>
        <w:t>The architecture enforces five formal security objectives: (1) Sybil cost barrier imposing O(2^d) expected computational cost; (2) non-repudiable fault attribution verifying in O(log N) hash operations; (3) leaky collusion suppression &gt;= 30% against colluders interacting with honest peers; (4) asymmetric provider preservation ensuring dedicated uploaders retain global trust without reciprocal downloads; and (5) safe threshold revocation requiring m-of-n supernode authorization (3-of-5).</w:t>
      </w:r>
    </w:p>
    <w:p>
      <w:pPr>
        <w:keepNext/>
        <w:spacing w:before="280" w:after="80"/>
      </w:pPr>
      <w:r>
        <w:rPr>
          <w:rFonts w:ascii="Times New Roman" w:hAnsi="Times New Roman"/>
          <w:b/>
          <w:color w:val="0F172A"/>
          <w:sz w:val="22"/>
        </w:rPr>
        <w:t>IV. PROPOSED FOUR-LAYER ARCHITECTURE</w:t>
      </w:r>
    </w:p>
    <w:p>
      <w:pPr>
        <w:spacing w:before="0" w:after="120" w:line="276" w:lineRule="auto"/>
        <w:jc w:val="both"/>
      </w:pPr>
      <w:r>
        <w:rPr>
          <w:rFonts w:ascii="Times New Roman" w:hAnsi="Times New Roman"/>
          <w:sz w:val="20"/>
        </w:rPr>
        <w:t>The system operates across four vertically integrated layers: Layer 1 (Identity &amp; PoW Admission Barrier), Layer 2 (Mesh Web-of-Trust PKI), Layer 3 (Evidence-Weighted EigenTrust v1.8), and Layer 4 (Threshold Revocation &amp; Secret-Shared Recovery).</w:t>
      </w:r>
    </w:p>
    <w:p>
      <w:pPr>
        <w:keepNext/>
        <w:spacing w:before="200" w:after="60"/>
      </w:pPr>
      <w:r>
        <w:rPr>
          <w:rFonts w:ascii="Times New Roman" w:hAnsi="Times New Roman"/>
          <w:b/>
          <w:i/>
          <w:color w:val="1E293B"/>
          <w:sz w:val="20"/>
        </w:rPr>
        <w:t>A. Layer 1: Cryptographic Identity &amp; Lifecycle FSM</w:t>
      </w:r>
    </w:p>
    <w:p>
      <w:pPr>
        <w:spacing w:before="0" w:after="120" w:line="276" w:lineRule="auto"/>
        <w:jc w:val="both"/>
      </w:pPr>
      <w:r>
        <w:rPr>
          <w:rFonts w:ascii="Times New Roman" w:hAnsi="Times New Roman"/>
          <w:sz w:val="20"/>
        </w:rPr>
        <w:t>Peers generate Ed25519 signing keypairs. Identifier strings are formatted as did:peer:2.Ez{public_key_hex}. Node admission requires computing a SHA-256 Hashcash nonce satisfying difficulty d &gt;= 8 (verification is O(1)). Peers follow a strict five-state finite state machine (FSM): UNKNOWN -&gt; ACTIVE &lt;-&gt; SUSPECTED -&gt; REVOCATION_PROPOSED -&gt; REVOKED. Quorum timeout fallback on voting reverts state to SUSPECTED, never directly to ACTIVE.</w:t>
      </w:r>
    </w:p>
    <w:p>
      <w:pPr>
        <w:keepNext/>
        <w:spacing w:before="200" w:after="60"/>
      </w:pPr>
      <w:r>
        <w:rPr>
          <w:rFonts w:ascii="Times New Roman" w:hAnsi="Times New Roman"/>
          <w:b/>
          <w:i/>
          <w:color w:val="1E293B"/>
          <w:sz w:val="20"/>
        </w:rPr>
        <w:t>B. Layer 2: Mesh Web-of-Trust PKI</w:t>
      </w:r>
    </w:p>
    <w:p>
      <w:pPr>
        <w:spacing w:before="0" w:after="120" w:line="276" w:lineRule="auto"/>
        <w:jc w:val="both"/>
      </w:pPr>
      <w:r>
        <w:rPr>
          <w:rFonts w:ascii="Times New Roman" w:hAnsi="Times New Roman"/>
          <w:sz w:val="20"/>
        </w:rPr>
        <w:t>Peers issue signed CrossCertificate records asserting unidirectional trust with valid time windows [t_valid, t_expires]. Multi-hop trust paths are discovered via DFS with a strict hop cutoff k &lt;= 4. Paths are filtered to enforce strict intermediate-vertex disjointness (no intermediate peer appears in more than one evaluated path). Cumulative path trust is the direct multiplicative product of cross-certificate weights.</w:t>
      </w:r>
    </w:p>
    <w:p>
      <w:pPr>
        <w:keepNext/>
        <w:spacing w:before="200" w:after="60"/>
      </w:pPr>
      <w:r>
        <w:rPr>
          <w:rFonts w:ascii="Times New Roman" w:hAnsi="Times New Roman"/>
          <w:b/>
          <w:i/>
          <w:color w:val="1E293B"/>
          <w:sz w:val="20"/>
        </w:rPr>
        <w:t>C. Layer 3: Evidence-Weighted EigenTrust v1.8</w:t>
      </w:r>
    </w:p>
    <w:p>
      <w:pPr>
        <w:spacing w:before="0" w:after="120" w:line="276" w:lineRule="auto"/>
        <w:jc w:val="both"/>
      </w:pPr>
      <w:r>
        <w:rPr>
          <w:rFonts w:ascii="Times New Roman" w:hAnsi="Times New Roman"/>
          <w:sz w:val="20"/>
        </w:rPr>
        <w:t>Layer 3 replaces raw linear rating summation with evidence discounting: (1) Three-tier evidence weighting: Tier 1 unindexed bilateral receipts (mu = 0.10), Tier 2 manifest-referenced receipts (mu = 0.25), and Tier 3 locally verified chunk deliveries (gamma = 1.00); (2) Exponential freshness decay: gamma_time = exp(-Delta t / tau) with tau = 24 hours; (3) Dispute ratio accounting: gamma_dispute = max(0.0, 1.0 - 2 * N_neg / (N_pos + 1.0)); (4) Concave edge ceiling capping effective edge weight: Phi_edge(E) = K_max * tanh(lambda * E / K_max) with K_max = 10.0, lambda = 0.50; and (5) Dangling-node fallback setting dangling rows to the pre-trusted restart vector p (C'_i,: = p).</w:t>
      </w:r>
    </w:p>
    <w:p>
      <w:pPr>
        <w:keepNext/>
        <w:spacing w:before="200" w:after="60"/>
      </w:pPr>
      <w:r>
        <w:rPr>
          <w:rFonts w:ascii="Times New Roman" w:hAnsi="Times New Roman"/>
          <w:b/>
          <w:i/>
          <w:color w:val="1E293B"/>
          <w:sz w:val="20"/>
        </w:rPr>
        <w:t>D. Layer 4: Threshold Revocation &amp; Key Recovery</w:t>
      </w:r>
    </w:p>
    <w:p>
      <w:pPr>
        <w:spacing w:before="0" w:after="120" w:line="276" w:lineRule="auto"/>
        <w:jc w:val="both"/>
      </w:pPr>
      <w:r>
        <w:rPr>
          <w:rFonts w:ascii="Times New Roman" w:hAnsi="Times New Roman"/>
          <w:sz w:val="20"/>
        </w:rPr>
        <w:t>Malicious or compromised peers are revoked via Certificate Revocation Records (CRRs) requiring m-of-n supernode quorum signatures (3-of-5). A 3-of-5 threshold signature mechanism enforces administrative multi-party authorization; it does not constitute Byzantine fault-tolerant consensus. Master identity keys are protected via Shamir (3, 5) secret sharing over GF(256). Reconstruction requires 3 guardian Recovery Authorization Tokens (AuthTok) and triggers mandatory post-recovery key rotation.</w:t>
      </w:r>
    </w:p>
    <w:p>
      <w:pPr>
        <w:keepNext/>
        <w:spacing w:before="280" w:after="80"/>
      </w:pPr>
      <w:r>
        <w:rPr>
          <w:rFonts w:ascii="Times New Roman" w:hAnsi="Times New Roman"/>
          <w:b/>
          <w:color w:val="0F172A"/>
          <w:sz w:val="22"/>
        </w:rPr>
        <w:t>V. IMPLEMENTATION AND PROTOCOL WORKFLOW</w:t>
      </w:r>
    </w:p>
    <w:p>
      <w:pPr>
        <w:keepNext/>
        <w:spacing w:before="200" w:after="60"/>
      </w:pPr>
      <w:r>
        <w:rPr>
          <w:rFonts w:ascii="Times New Roman" w:hAnsi="Times New Roman"/>
          <w:b/>
          <w:i/>
          <w:color w:val="1E293B"/>
          <w:sz w:val="20"/>
        </w:rPr>
        <w:t>A. File-Sharing Transaction Lifecycle</w:t>
      </w:r>
    </w:p>
    <w:p>
      <w:pPr>
        <w:spacing w:before="0" w:after="120" w:line="276" w:lineRule="auto"/>
        <w:jc w:val="both"/>
      </w:pPr>
      <w:r>
        <w:rPr>
          <w:rFonts w:ascii="Times New Roman" w:hAnsi="Times New Roman"/>
          <w:sz w:val="20"/>
        </w:rPr>
        <w:t>Content distribution follows a 4-stage pipeline: (1) Publisher builds binary Merkle tree over chunk digests and signs ContentManifest; (2) Downloader issues signed ContentRequest; Uploader serves ChunkResponse containing chunk index k, chunk digest, and server Ed25519 signature; (3) Downloader validates chunk integrity against manifest root in O(log N) hash operations; (4) Upon validation, peers exchange co-signed BilateralReceipt records carrying tx_id, chunk_index, and merkle_root.</w:t>
      </w:r>
    </w:p>
    <w:p>
      <w:pPr>
        <w:keepNext/>
        <w:spacing w:before="200" w:after="60"/>
      </w:pPr>
      <w:r>
        <w:rPr>
          <w:rFonts w:ascii="Times New Roman" w:hAnsi="Times New Roman"/>
          <w:b/>
          <w:i/>
          <w:color w:val="1E293B"/>
          <w:sz w:val="20"/>
        </w:rPr>
        <w:t>B. Attributable Fault Contradiction Protocol</w:t>
      </w:r>
    </w:p>
    <w:p>
      <w:pPr>
        <w:spacing w:before="0" w:after="120" w:line="276" w:lineRule="auto"/>
        <w:jc w:val="both"/>
      </w:pPr>
      <w:r>
        <w:rPr>
          <w:rFonts w:ascii="Times New Roman" w:hAnsi="Times New Roman"/>
          <w:sz w:val="20"/>
        </w:rPr>
        <w:t>If an uploader serves corrupted chunk bytes c'_k: (1) Downloader detects hash mismatch against published root; (2) Downloader compiles FaultEvidenceRecord containing publisher manifest, server-signed ChunkResponse committing to c'_k, and authentic Merkle leaf inclusion proof for chunk k; (3) Any third-party arbiter verifies this contradiction in O(log N) hash operations and sibling hashes, proving attributable delivery inconsistency without downloading the full O(N) file payload. Certified fault evidence zeroes incoming edge weights to the accused peer (A_{i, accused} = 0.0).</w:t>
      </w:r>
    </w:p>
    <w:p>
      <w:pPr>
        <w:keepNext/>
        <w:spacing w:before="280" w:after="80"/>
      </w:pPr>
      <w:r>
        <w:rPr>
          <w:rFonts w:ascii="Times New Roman" w:hAnsi="Times New Roman"/>
          <w:b/>
          <w:color w:val="0F172A"/>
          <w:sz w:val="22"/>
        </w:rPr>
        <w:t>VI. EXPERIMENTAL METHODOLOGY</w:t>
      </w:r>
    </w:p>
    <w:p>
      <w:pPr>
        <w:spacing w:before="0" w:after="120" w:line="276" w:lineRule="auto"/>
        <w:jc w:val="both"/>
      </w:pPr>
      <w:r>
        <w:rPr>
          <w:rFonts w:ascii="Times New Roman" w:hAnsi="Times New Roman"/>
          <w:sz w:val="20"/>
        </w:rPr>
        <w:t>The empirical benchmark suite (experiments/phase8_2_benchmark.py) was executed in accordance with a sealed preregistration (PHASE8_2_PREREGISTRATION.md): 20 random seeds (S = {42 + 17*i | i in [0, 19]}), 2 network scales (Standard: 30 nodes; Extended: 50 nodes), and 3 trust modes (Vanilla EigenTrust, EW-EigenTrust v1.8, Local-Only Baseline), totaling 1,140 trial evaluations across 9 scenarios (S1 Honest Baseline, S2 Closed Collusion, S3 Leaky Collusion, S4 Bridge Sweep q in {0.00, 0.05, 0.10, 0.20, 0.40}, S5 Adaptive Attacker, S6 Receipt Grinding, S7 Dispute Manipulation, S8 Asymmetric Uploader, S9 Reciprocal Community).</w:t>
      </w:r>
    </w:p>
    <w:p>
      <w:pPr>
        <w:keepNext/>
        <w:spacing w:before="280" w:after="80"/>
      </w:pPr>
      <w:r>
        <w:rPr>
          <w:rFonts w:ascii="Times New Roman" w:hAnsi="Times New Roman"/>
          <w:b/>
          <w:color w:val="0F172A"/>
          <w:sz w:val="22"/>
        </w:rPr>
        <w:t>VII. RESULTS AND STATISTICAL ANALYSIS</w:t>
      </w:r>
    </w:p>
    <w:p>
      <w:pPr>
        <w:spacing w:before="0" w:after="120" w:line="276" w:lineRule="auto"/>
        <w:jc w:val="both"/>
      </w:pPr>
      <w:r>
        <w:rPr>
          <w:rFonts w:ascii="Times New Roman" w:hAnsi="Times New Roman"/>
          <w:sz w:val="20"/>
        </w:rPr>
        <w:t>Table I summarizes the empirical findings across all 19 scenario-scale pairs. All reported p-values are paired Student's t-test values uncorrected for multiple testing across the 9 scenarios, as preregistered.</w:t>
      </w:r>
    </w:p>
    <w:tbl>
      <w:tblPr>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vAlign w:val="center"/>
            <w:tcMar>
              <w:top w:w="60" w:type="dxa"/>
              <w:bottom w:w="60" w:type="dxa"/>
              <w:left w:w="80" w:type="dxa"/>
              <w:right w:w="80" w:type="dxa"/>
            </w:tcMar>
            <w:shd w:fill="0F172A"/>
          </w:tcPr>
          <w:p>
            <w:pPr>
              <w:spacing w:before="0" w:after="0"/>
              <w:jc w:val="left"/>
            </w:pPr>
            <w:r>
              <w:rPr>
                <w:rFonts w:ascii="Times New Roman" w:hAnsi="Times New Roman"/>
                <w:b/>
                <w:color w:val="FFFFFF"/>
                <w:sz w:val="17"/>
              </w:rPr>
              <w:t>Scenario &amp; Metric</w:t>
            </w:r>
          </w:p>
        </w:tc>
        <w:tc>
          <w:tcPr>
            <w:tcW w:type="dxa" w:w="1120"/>
            <w:vAlign w:val="center"/>
            <w:tcMar>
              <w:top w:w="60" w:type="dxa"/>
              <w:bottom w:w="60" w:type="dxa"/>
              <w:left w:w="80" w:type="dxa"/>
              <w:right w:w="80" w:type="dxa"/>
            </w:tcMar>
            <w:shd w:fill="0F172A"/>
          </w:tcPr>
          <w:p>
            <w:pPr>
              <w:spacing w:before="0" w:after="0"/>
              <w:jc w:val="center"/>
            </w:pPr>
            <w:r>
              <w:rPr>
                <w:rFonts w:ascii="Times New Roman" w:hAnsi="Times New Roman"/>
                <w:b/>
                <w:color w:val="FFFFFF"/>
                <w:sz w:val="17"/>
              </w:rPr>
              <w:t>Scale</w:t>
            </w:r>
          </w:p>
        </w:tc>
        <w:tc>
          <w:tcPr>
            <w:tcW w:type="dxa" w:w="1120"/>
            <w:vAlign w:val="center"/>
            <w:tcMar>
              <w:top w:w="60" w:type="dxa"/>
              <w:bottom w:w="60" w:type="dxa"/>
              <w:left w:w="80" w:type="dxa"/>
              <w:right w:w="80" w:type="dxa"/>
            </w:tcMar>
            <w:shd w:fill="0F172A"/>
          </w:tcPr>
          <w:p>
            <w:pPr>
              <w:spacing w:before="0" w:after="0"/>
              <w:jc w:val="center"/>
            </w:pPr>
            <w:r>
              <w:rPr>
                <w:rFonts w:ascii="Times New Roman" w:hAnsi="Times New Roman"/>
                <w:b/>
                <w:color w:val="FFFFFF"/>
                <w:sz w:val="17"/>
              </w:rPr>
              <w:t>Vanilla</w:t>
            </w:r>
          </w:p>
        </w:tc>
        <w:tc>
          <w:tcPr>
            <w:tcW w:type="dxa" w:w="1120"/>
            <w:vAlign w:val="center"/>
            <w:tcMar>
              <w:top w:w="60" w:type="dxa"/>
              <w:bottom w:w="60" w:type="dxa"/>
              <w:left w:w="80" w:type="dxa"/>
              <w:right w:w="80" w:type="dxa"/>
            </w:tcMar>
            <w:shd w:fill="0F172A"/>
          </w:tcPr>
          <w:p>
            <w:pPr>
              <w:spacing w:before="0" w:after="0"/>
              <w:jc w:val="center"/>
            </w:pPr>
            <w:r>
              <w:rPr>
                <w:rFonts w:ascii="Times New Roman" w:hAnsi="Times New Roman"/>
                <w:b/>
                <w:color w:val="FFFFFF"/>
                <w:sz w:val="17"/>
              </w:rPr>
              <w:t>EW v1.8</w:t>
            </w:r>
          </w:p>
        </w:tc>
        <w:tc>
          <w:tcPr>
            <w:tcW w:type="dxa" w:w="1120"/>
            <w:vAlign w:val="center"/>
            <w:tcMar>
              <w:top w:w="60" w:type="dxa"/>
              <w:bottom w:w="60" w:type="dxa"/>
              <w:left w:w="80" w:type="dxa"/>
              <w:right w:w="80" w:type="dxa"/>
            </w:tcMar>
            <w:shd w:fill="0F172A"/>
          </w:tcPr>
          <w:p>
            <w:pPr>
              <w:spacing w:before="0" w:after="0"/>
              <w:jc w:val="center"/>
            </w:pPr>
            <w:r>
              <w:rPr>
                <w:rFonts w:ascii="Times New Roman" w:hAnsi="Times New Roman"/>
                <w:b/>
                <w:color w:val="FFFFFF"/>
                <w:sz w:val="17"/>
              </w:rPr>
              <w:t>Diff (Delta)</w:t>
            </w:r>
          </w:p>
        </w:tc>
        <w:tc>
          <w:tcPr>
            <w:tcW w:type="dxa" w:w="1120"/>
            <w:vAlign w:val="center"/>
            <w:tcMar>
              <w:top w:w="60" w:type="dxa"/>
              <w:bottom w:w="60" w:type="dxa"/>
              <w:left w:w="80" w:type="dxa"/>
              <w:right w:w="80" w:type="dxa"/>
            </w:tcMar>
            <w:shd w:fill="0F172A"/>
          </w:tcPr>
          <w:p>
            <w:pPr>
              <w:spacing w:before="0" w:after="0"/>
              <w:jc w:val="center"/>
            </w:pPr>
            <w:r>
              <w:rPr>
                <w:rFonts w:ascii="Times New Roman" w:hAnsi="Times New Roman"/>
                <w:b/>
                <w:color w:val="FFFFFF"/>
                <w:sz w:val="17"/>
              </w:rPr>
              <w:t>Rel %</w:t>
            </w:r>
          </w:p>
        </w:tc>
        <w:tc>
          <w:tcPr>
            <w:tcW w:type="dxa" w:w="1120"/>
            <w:vAlign w:val="center"/>
            <w:tcMar>
              <w:top w:w="60" w:type="dxa"/>
              <w:bottom w:w="60" w:type="dxa"/>
              <w:left w:w="80" w:type="dxa"/>
              <w:right w:w="80" w:type="dxa"/>
            </w:tcMar>
            <w:shd w:fill="0F172A"/>
          </w:tcPr>
          <w:p>
            <w:pPr>
              <w:spacing w:before="0" w:after="0"/>
              <w:jc w:val="center"/>
            </w:pPr>
            <w:r>
              <w:rPr>
                <w:rFonts w:ascii="Times New Roman" w:hAnsi="Times New Roman"/>
                <w:b/>
                <w:color w:val="FFFFFF"/>
                <w:sz w:val="17"/>
              </w:rPr>
              <w:t>Paired t-stat</w:t>
            </w:r>
          </w:p>
        </w:tc>
        <w:tc>
          <w:tcPr>
            <w:tcW w:type="dxa" w:w="1120"/>
            <w:vAlign w:val="center"/>
            <w:tcMar>
              <w:top w:w="60" w:type="dxa"/>
              <w:bottom w:w="60" w:type="dxa"/>
              <w:left w:w="80" w:type="dxa"/>
              <w:right w:w="80" w:type="dxa"/>
            </w:tcMar>
            <w:shd w:fill="0F172A"/>
          </w:tcPr>
          <w:p>
            <w:pPr>
              <w:spacing w:before="0" w:after="0"/>
              <w:jc w:val="center"/>
            </w:pPr>
            <w:r>
              <w:rPr>
                <w:rFonts w:ascii="Times New Roman" w:hAnsi="Times New Roman"/>
                <w:b/>
                <w:color w:val="FFFFFF"/>
                <w:sz w:val="17"/>
              </w:rPr>
              <w:t>p-value</w:t>
            </w:r>
          </w:p>
        </w:tc>
        <w:tc>
          <w:tcPr>
            <w:tcW w:type="dxa" w:w="1120"/>
            <w:vAlign w:val="center"/>
            <w:tcMar>
              <w:top w:w="60" w:type="dxa"/>
              <w:bottom w:w="60" w:type="dxa"/>
              <w:left w:w="80" w:type="dxa"/>
              <w:right w:w="80" w:type="dxa"/>
            </w:tcMar>
            <w:shd w:fill="0F172A"/>
          </w:tcPr>
          <w:p>
            <w:pPr>
              <w:spacing w:before="0" w:after="0"/>
              <w:jc w:val="center"/>
            </w:pPr>
            <w:r>
              <w:rPr>
                <w:rFonts w:ascii="Times New Roman" w:hAnsi="Times New Roman"/>
                <w:b/>
                <w:color w:val="FFFFFF"/>
                <w:sz w:val="17"/>
              </w:rPr>
              <w:t>Cohen dz</w:t>
            </w:r>
          </w:p>
        </w:tc>
      </w:tr>
      <w:tr>
        <w:tc>
          <w:tcPr>
            <w:tcW w:type="dxa" w:w="1120"/>
            <w:vAlign w:val="center"/>
            <w:tcMar>
              <w:top w:w="60" w:type="dxa"/>
              <w:bottom w:w="60" w:type="dxa"/>
              <w:left w:w="80" w:type="dxa"/>
              <w:right w:w="80" w:type="dxa"/>
            </w:tcMar>
            <w:shd w:fill="F8FAFC"/>
          </w:tcPr>
          <w:p>
            <w:pPr>
              <w:spacing w:before="0" w:after="0"/>
              <w:jc w:val="left"/>
            </w:pPr>
            <w:r>
              <w:rPr>
                <w:rFonts w:ascii="Times New Roman" w:hAnsi="Times New Roman"/>
                <w:sz w:val="16"/>
              </w:rPr>
              <w:t>S1: Honest Baseline (T_C)</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Standard</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0.0000</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0.0000</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0.0000</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0.00%</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Undefined</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Undefined</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Undefined</w:t>
            </w:r>
          </w:p>
        </w:tc>
      </w:tr>
      <w:tr>
        <w:tc>
          <w:tcPr>
            <w:tcW w:type="dxa" w:w="1120"/>
            <w:vAlign w:val="center"/>
            <w:tcMar>
              <w:top w:w="60" w:type="dxa"/>
              <w:bottom w:w="60" w:type="dxa"/>
              <w:left w:w="80" w:type="dxa"/>
              <w:right w:w="80" w:type="dxa"/>
            </w:tcMar>
            <w:shd w:fill="FFFFFF"/>
          </w:tcPr>
          <w:p>
            <w:pPr>
              <w:spacing w:before="0" w:after="0"/>
              <w:jc w:val="left"/>
            </w:pPr>
            <w:r>
              <w:rPr>
                <w:rFonts w:ascii="Times New Roman" w:hAnsi="Times New Roman"/>
                <w:sz w:val="16"/>
              </w:rPr>
              <w:t>S1: Honest Baseline (T_C)</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Extended</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0.0000</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0.0000</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0.0000</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0.00%</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Undefined</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Undefined</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Undefined</w:t>
            </w:r>
          </w:p>
        </w:tc>
      </w:tr>
      <w:tr>
        <w:tc>
          <w:tcPr>
            <w:tcW w:type="dxa" w:w="1120"/>
            <w:vAlign w:val="center"/>
            <w:tcMar>
              <w:top w:w="60" w:type="dxa"/>
              <w:bottom w:w="60" w:type="dxa"/>
              <w:left w:w="80" w:type="dxa"/>
              <w:right w:w="80" w:type="dxa"/>
            </w:tcMar>
            <w:shd w:fill="F8FAFC"/>
          </w:tcPr>
          <w:p>
            <w:pPr>
              <w:spacing w:before="0" w:after="0"/>
              <w:jc w:val="left"/>
            </w:pPr>
            <w:r>
              <w:rPr>
                <w:rFonts w:ascii="Times New Roman" w:hAnsi="Times New Roman"/>
                <w:sz w:val="16"/>
              </w:rPr>
              <w:t>S2: Closed Collusion (T_C)</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Standard</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0.0850</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0.0889</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+0.0039</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+4.53%</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+1.472</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0.158</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+0.33</w:t>
            </w:r>
          </w:p>
        </w:tc>
      </w:tr>
      <w:tr>
        <w:tc>
          <w:tcPr>
            <w:tcW w:type="dxa" w:w="1120"/>
            <w:vAlign w:val="center"/>
            <w:tcMar>
              <w:top w:w="60" w:type="dxa"/>
              <w:bottom w:w="60" w:type="dxa"/>
              <w:left w:w="80" w:type="dxa"/>
              <w:right w:w="80" w:type="dxa"/>
            </w:tcMar>
            <w:shd w:fill="FFFFFF"/>
          </w:tcPr>
          <w:p>
            <w:pPr>
              <w:spacing w:before="0" w:after="0"/>
              <w:jc w:val="left"/>
            </w:pPr>
            <w:r>
              <w:rPr>
                <w:rFonts w:ascii="Times New Roman" w:hAnsi="Times New Roman"/>
                <w:sz w:val="16"/>
              </w:rPr>
              <w:t>S2: Closed Collusion (T_C)</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Extended</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0.0539</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0.0611</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+0.0073</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+13.50%</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+3.944</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8.70e-4</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+0.88</w:t>
            </w:r>
          </w:p>
        </w:tc>
      </w:tr>
      <w:tr>
        <w:tc>
          <w:tcPr>
            <w:tcW w:type="dxa" w:w="1120"/>
            <w:vAlign w:val="center"/>
            <w:tcMar>
              <w:top w:w="60" w:type="dxa"/>
              <w:bottom w:w="60" w:type="dxa"/>
              <w:left w:w="80" w:type="dxa"/>
              <w:right w:w="80" w:type="dxa"/>
            </w:tcMar>
            <w:shd w:fill="F8FAFC"/>
          </w:tcPr>
          <w:p>
            <w:pPr>
              <w:spacing w:before="0" w:after="0"/>
              <w:jc w:val="left"/>
            </w:pPr>
            <w:r>
              <w:rPr>
                <w:rFonts w:ascii="Times New Roman" w:hAnsi="Times New Roman"/>
                <w:b/>
                <w:sz w:val="16"/>
              </w:rPr>
              <w:t>S3: Leaky Collusion (T_C)</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b/>
                <w:sz w:val="16"/>
              </w:rPr>
              <w:t>Standard</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b/>
                <w:sz w:val="16"/>
              </w:rPr>
              <w:t>0.1834</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b/>
                <w:sz w:val="16"/>
              </w:rPr>
              <w:t>0.1084</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b/>
                <w:sz w:val="16"/>
              </w:rPr>
              <w:t>-0.0750</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b/>
                <w:sz w:val="16"/>
              </w:rPr>
              <w:t>-40.88%</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b/>
                <w:sz w:val="16"/>
              </w:rPr>
              <w:t>-34.354</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b/>
                <w:sz w:val="16"/>
              </w:rPr>
              <w:t>1.44e-18</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b/>
                <w:sz w:val="16"/>
              </w:rPr>
              <w:t>-7.68</w:t>
            </w:r>
          </w:p>
        </w:tc>
      </w:tr>
      <w:tr>
        <w:tc>
          <w:tcPr>
            <w:tcW w:type="dxa" w:w="1120"/>
            <w:vAlign w:val="center"/>
            <w:tcMar>
              <w:top w:w="60" w:type="dxa"/>
              <w:bottom w:w="60" w:type="dxa"/>
              <w:left w:w="80" w:type="dxa"/>
              <w:right w:w="80" w:type="dxa"/>
            </w:tcMar>
            <w:shd w:fill="FFFFFF"/>
          </w:tcPr>
          <w:p>
            <w:pPr>
              <w:spacing w:before="0" w:after="0"/>
              <w:jc w:val="left"/>
            </w:pPr>
            <w:r>
              <w:rPr>
                <w:rFonts w:ascii="Times New Roman" w:hAnsi="Times New Roman"/>
                <w:b/>
                <w:sz w:val="16"/>
              </w:rPr>
              <w:t>S3: Leaky Collusion (T_C)</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b/>
                <w:sz w:val="16"/>
              </w:rPr>
              <w:t>Extended</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b/>
                <w:sz w:val="16"/>
              </w:rPr>
              <w:t>0.1982</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b/>
                <w:sz w:val="16"/>
              </w:rPr>
              <w:t>0.1160</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b/>
                <w:sz w:val="16"/>
              </w:rPr>
              <w:t>-0.0823</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b/>
                <w:sz w:val="16"/>
              </w:rPr>
              <w:t>-41.50%</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b/>
                <w:sz w:val="16"/>
              </w:rPr>
              <w:t>-50.410</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b/>
                <w:sz w:val="16"/>
              </w:rPr>
              <w:t>1.07e-21</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b/>
                <w:sz w:val="16"/>
              </w:rPr>
              <w:t>-11.27</w:t>
            </w:r>
          </w:p>
        </w:tc>
      </w:tr>
      <w:tr>
        <w:tc>
          <w:tcPr>
            <w:tcW w:type="dxa" w:w="1120"/>
            <w:vAlign w:val="center"/>
            <w:tcMar>
              <w:top w:w="60" w:type="dxa"/>
              <w:bottom w:w="60" w:type="dxa"/>
              <w:left w:w="80" w:type="dxa"/>
              <w:right w:w="80" w:type="dxa"/>
            </w:tcMar>
            <w:shd w:fill="F8FAFC"/>
          </w:tcPr>
          <w:p>
            <w:pPr>
              <w:spacing w:before="0" w:after="0"/>
              <w:jc w:val="left"/>
            </w:pPr>
            <w:r>
              <w:rPr>
                <w:rFonts w:ascii="Times New Roman" w:hAnsi="Times New Roman"/>
                <w:sz w:val="16"/>
              </w:rPr>
              <w:t>S4: Connected q=0.00 (T_C)</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Standard</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0.0000</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0.0000</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0.0000</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0.00%</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Undefined</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Undefined</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Undefined</w:t>
            </w:r>
          </w:p>
        </w:tc>
      </w:tr>
      <w:tr>
        <w:tc>
          <w:tcPr>
            <w:tcW w:type="dxa" w:w="1120"/>
            <w:vAlign w:val="center"/>
            <w:tcMar>
              <w:top w:w="60" w:type="dxa"/>
              <w:bottom w:w="60" w:type="dxa"/>
              <w:left w:w="80" w:type="dxa"/>
              <w:right w:w="80" w:type="dxa"/>
            </w:tcMar>
            <w:shd w:fill="FFFFFF"/>
          </w:tcPr>
          <w:p>
            <w:pPr>
              <w:spacing w:before="0" w:after="0"/>
              <w:jc w:val="left"/>
            </w:pPr>
            <w:r>
              <w:rPr>
                <w:rFonts w:ascii="Times New Roman" w:hAnsi="Times New Roman"/>
                <w:sz w:val="16"/>
              </w:rPr>
              <w:t>S4: Connected q=0.05 (T_C)</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Standard</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0.0935</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0.1176</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+0.0242</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+25.89%</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+11.757</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3.66e-10</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+2.63</w:t>
            </w:r>
          </w:p>
        </w:tc>
      </w:tr>
      <w:tr>
        <w:tc>
          <w:tcPr>
            <w:tcW w:type="dxa" w:w="1120"/>
            <w:vAlign w:val="center"/>
            <w:tcMar>
              <w:top w:w="60" w:type="dxa"/>
              <w:bottom w:w="60" w:type="dxa"/>
              <w:left w:w="80" w:type="dxa"/>
              <w:right w:w="80" w:type="dxa"/>
            </w:tcMar>
            <w:shd w:fill="F8FAFC"/>
          </w:tcPr>
          <w:p>
            <w:pPr>
              <w:spacing w:before="0" w:after="0"/>
              <w:jc w:val="left"/>
            </w:pPr>
            <w:r>
              <w:rPr>
                <w:rFonts w:ascii="Times New Roman" w:hAnsi="Times New Roman"/>
                <w:sz w:val="16"/>
              </w:rPr>
              <w:t>S4: Connected q=0.10 (T_C)</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Standard</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0.1606</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0.1885</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+0.0279</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+17.34%</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+13.621</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2.96e-11</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+3.05</w:t>
            </w:r>
          </w:p>
        </w:tc>
      </w:tr>
      <w:tr>
        <w:tc>
          <w:tcPr>
            <w:tcW w:type="dxa" w:w="1120"/>
            <w:vAlign w:val="center"/>
            <w:tcMar>
              <w:top w:w="60" w:type="dxa"/>
              <w:bottom w:w="60" w:type="dxa"/>
              <w:left w:w="80" w:type="dxa"/>
              <w:right w:w="80" w:type="dxa"/>
            </w:tcMar>
            <w:shd w:fill="FFFFFF"/>
          </w:tcPr>
          <w:p>
            <w:pPr>
              <w:spacing w:before="0" w:after="0"/>
              <w:jc w:val="left"/>
            </w:pPr>
            <w:r>
              <w:rPr>
                <w:rFonts w:ascii="Times New Roman" w:hAnsi="Times New Roman"/>
                <w:sz w:val="16"/>
              </w:rPr>
              <w:t>S4: Connected q=0.20 (T_C)</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Standard</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0.2731</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0.2920</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+0.0189</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+6.92%</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+9.209</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1.95e-8</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+2.06</w:t>
            </w:r>
          </w:p>
        </w:tc>
      </w:tr>
      <w:tr>
        <w:tc>
          <w:tcPr>
            <w:tcW w:type="dxa" w:w="1120"/>
            <w:vAlign w:val="center"/>
            <w:tcMar>
              <w:top w:w="60" w:type="dxa"/>
              <w:bottom w:w="60" w:type="dxa"/>
              <w:left w:w="80" w:type="dxa"/>
              <w:right w:w="80" w:type="dxa"/>
            </w:tcMar>
            <w:shd w:fill="F8FAFC"/>
          </w:tcPr>
          <w:p>
            <w:pPr>
              <w:spacing w:before="0" w:after="0"/>
              <w:jc w:val="left"/>
            </w:pPr>
            <w:r>
              <w:rPr>
                <w:rFonts w:ascii="Times New Roman" w:hAnsi="Times New Roman"/>
                <w:sz w:val="16"/>
              </w:rPr>
              <w:t>S4: Connected q=0.40 (T_C)</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Standard</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0.4124</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0.4045</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-0.0079</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-1.90%</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-4.799</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1.25e-4</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-1.07</w:t>
            </w:r>
          </w:p>
        </w:tc>
      </w:tr>
      <w:tr>
        <w:tc>
          <w:tcPr>
            <w:tcW w:type="dxa" w:w="1120"/>
            <w:vAlign w:val="center"/>
            <w:tcMar>
              <w:top w:w="60" w:type="dxa"/>
              <w:bottom w:w="60" w:type="dxa"/>
              <w:left w:w="80" w:type="dxa"/>
              <w:right w:w="80" w:type="dxa"/>
            </w:tcMar>
            <w:shd w:fill="FFFFFF"/>
          </w:tcPr>
          <w:p>
            <w:pPr>
              <w:spacing w:before="0" w:after="0"/>
              <w:jc w:val="left"/>
            </w:pPr>
            <w:r>
              <w:rPr>
                <w:rFonts w:ascii="Times New Roman" w:hAnsi="Times New Roman"/>
                <w:sz w:val="16"/>
              </w:rPr>
              <w:t>S5: Adaptive Attacker (T_C)</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Standard</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0.0964</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0.1004</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+0.0040</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+4.16%</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+1.739</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0.098</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+0.39</w:t>
            </w:r>
          </w:p>
        </w:tc>
      </w:tr>
      <w:tr>
        <w:tc>
          <w:tcPr>
            <w:tcW w:type="dxa" w:w="1120"/>
            <w:vAlign w:val="center"/>
            <w:tcMar>
              <w:top w:w="60" w:type="dxa"/>
              <w:bottom w:w="60" w:type="dxa"/>
              <w:left w:w="80" w:type="dxa"/>
              <w:right w:w="80" w:type="dxa"/>
            </w:tcMar>
            <w:shd w:fill="F8FAFC"/>
          </w:tcPr>
          <w:p>
            <w:pPr>
              <w:spacing w:before="0" w:after="0"/>
              <w:jc w:val="left"/>
            </w:pPr>
            <w:r>
              <w:rPr>
                <w:rFonts w:ascii="Times New Roman" w:hAnsi="Times New Roman"/>
                <w:b/>
                <w:sz w:val="16"/>
              </w:rPr>
              <w:t>S6: Receipt Grinding (T_C)</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b/>
                <w:sz w:val="16"/>
              </w:rPr>
              <w:t>Standard</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b/>
                <w:sz w:val="16"/>
              </w:rPr>
              <w:t>0.0922</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b/>
                <w:sz w:val="16"/>
              </w:rPr>
              <w:t>0.1046</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b/>
                <w:sz w:val="16"/>
              </w:rPr>
              <w:t>+0.0123</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b/>
                <w:sz w:val="16"/>
              </w:rPr>
              <w:t>+13.38%</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b/>
                <w:sz w:val="16"/>
              </w:rPr>
              <w:t>+3.860</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b/>
                <w:sz w:val="16"/>
              </w:rPr>
              <w:t>1.06e-3</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b/>
                <w:sz w:val="16"/>
              </w:rPr>
              <w:t>+0.86</w:t>
            </w:r>
          </w:p>
        </w:tc>
      </w:tr>
      <w:tr>
        <w:tc>
          <w:tcPr>
            <w:tcW w:type="dxa" w:w="1120"/>
            <w:vAlign w:val="center"/>
            <w:tcMar>
              <w:top w:w="60" w:type="dxa"/>
              <w:bottom w:w="60" w:type="dxa"/>
              <w:left w:w="80" w:type="dxa"/>
              <w:right w:w="80" w:type="dxa"/>
            </w:tcMar>
            <w:shd w:fill="FFFFFF"/>
          </w:tcPr>
          <w:p>
            <w:pPr>
              <w:spacing w:before="0" w:after="0"/>
              <w:jc w:val="left"/>
            </w:pPr>
            <w:r>
              <w:rPr>
                <w:rFonts w:ascii="Times New Roman" w:hAnsi="Times New Roman"/>
                <w:b/>
                <w:sz w:val="16"/>
              </w:rPr>
              <w:t>S6: Receipt Grinding (T_C)</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b/>
                <w:sz w:val="16"/>
              </w:rPr>
              <w:t>Extended</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b/>
                <w:sz w:val="16"/>
              </w:rPr>
              <w:t>0.0558</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b/>
                <w:sz w:val="16"/>
              </w:rPr>
              <w:t>0.0658</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b/>
                <w:sz w:val="16"/>
              </w:rPr>
              <w:t>+0.0100</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b/>
                <w:sz w:val="16"/>
              </w:rPr>
              <w:t>+17.92%</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b/>
                <w:sz w:val="16"/>
              </w:rPr>
              <w:t>+4.968</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b/>
                <w:sz w:val="16"/>
              </w:rPr>
              <w:t>8.55e-5</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b/>
                <w:sz w:val="16"/>
              </w:rPr>
              <w:t>+1.11</w:t>
            </w:r>
          </w:p>
        </w:tc>
      </w:tr>
      <w:tr>
        <w:tc>
          <w:tcPr>
            <w:tcW w:type="dxa" w:w="1120"/>
            <w:vAlign w:val="center"/>
            <w:tcMar>
              <w:top w:w="60" w:type="dxa"/>
              <w:bottom w:w="60" w:type="dxa"/>
              <w:left w:w="80" w:type="dxa"/>
              <w:right w:w="80" w:type="dxa"/>
            </w:tcMar>
            <w:shd w:fill="F8FAFC"/>
          </w:tcPr>
          <w:p>
            <w:pPr>
              <w:spacing w:before="0" w:after="0"/>
              <w:jc w:val="left"/>
            </w:pPr>
            <w:r>
              <w:rPr>
                <w:rFonts w:ascii="Times New Roman" w:hAnsi="Times New Roman"/>
                <w:sz w:val="16"/>
              </w:rPr>
              <w:t>S7: Dispute Manip (T_C)</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Standard</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0.0000</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0.0000</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0.0000</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0.00%</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Undefined</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Undefined</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Undefined</w:t>
            </w:r>
          </w:p>
        </w:tc>
      </w:tr>
      <w:tr>
        <w:tc>
          <w:tcPr>
            <w:tcW w:type="dxa" w:w="1120"/>
            <w:vAlign w:val="center"/>
            <w:tcMar>
              <w:top w:w="60" w:type="dxa"/>
              <w:bottom w:w="60" w:type="dxa"/>
              <w:left w:w="80" w:type="dxa"/>
              <w:right w:w="80" w:type="dxa"/>
            </w:tcMar>
            <w:shd w:fill="FFFFFF"/>
          </w:tcPr>
          <w:p>
            <w:pPr>
              <w:spacing w:before="0" w:after="0"/>
              <w:jc w:val="left"/>
            </w:pPr>
            <w:r>
              <w:rPr>
                <w:rFonts w:ascii="Times New Roman" w:hAnsi="Times New Roman"/>
                <w:b/>
                <w:sz w:val="16"/>
              </w:rPr>
              <w:t>S8: Asym Uploader (t_up)</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b/>
                <w:sz w:val="16"/>
              </w:rPr>
              <w:t>Standard</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b/>
                <w:sz w:val="16"/>
              </w:rPr>
              <w:t>0.1574</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b/>
                <w:sz w:val="16"/>
              </w:rPr>
              <w:t>0.1754</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b/>
                <w:sz w:val="16"/>
              </w:rPr>
              <w:t>+0.0180</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b/>
                <w:sz w:val="16"/>
              </w:rPr>
              <w:t>+11.43%</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b/>
                <w:sz w:val="16"/>
              </w:rPr>
              <w:t>+54.177</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b/>
                <w:sz w:val="16"/>
              </w:rPr>
              <w:t>2.74e-22</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b/>
                <w:sz w:val="16"/>
              </w:rPr>
              <w:t>+12.11</w:t>
            </w:r>
          </w:p>
        </w:tc>
      </w:tr>
      <w:tr>
        <w:tc>
          <w:tcPr>
            <w:tcW w:type="dxa" w:w="1120"/>
            <w:vAlign w:val="center"/>
            <w:tcMar>
              <w:top w:w="60" w:type="dxa"/>
              <w:bottom w:w="60" w:type="dxa"/>
              <w:left w:w="80" w:type="dxa"/>
              <w:right w:w="80" w:type="dxa"/>
            </w:tcMar>
            <w:shd w:fill="F8FAFC"/>
          </w:tcPr>
          <w:p>
            <w:pPr>
              <w:spacing w:before="0" w:after="0"/>
              <w:jc w:val="left"/>
            </w:pPr>
            <w:r>
              <w:rPr>
                <w:rFonts w:ascii="Times New Roman" w:hAnsi="Times New Roman"/>
                <w:b/>
                <w:sz w:val="16"/>
              </w:rPr>
              <w:t>S8: Asym Uploader (t_up)</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b/>
                <w:sz w:val="16"/>
              </w:rPr>
              <w:t>Extended</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b/>
                <w:sz w:val="16"/>
              </w:rPr>
              <w:t>0.1584</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b/>
                <w:sz w:val="16"/>
              </w:rPr>
              <w:t>0.1786</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b/>
                <w:sz w:val="16"/>
              </w:rPr>
              <w:t>+0.0202</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b/>
                <w:sz w:val="16"/>
              </w:rPr>
              <w:t>+12.74%</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b/>
                <w:sz w:val="16"/>
              </w:rPr>
              <w:t>+73.490</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b/>
                <w:sz w:val="16"/>
              </w:rPr>
              <w:t>8.57e-25</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b/>
                <w:sz w:val="16"/>
              </w:rPr>
              <w:t>+16.43</w:t>
            </w:r>
          </w:p>
        </w:tc>
      </w:tr>
      <w:tr>
        <w:tc>
          <w:tcPr>
            <w:tcW w:type="dxa" w:w="1120"/>
            <w:vAlign w:val="center"/>
            <w:tcMar>
              <w:top w:w="60" w:type="dxa"/>
              <w:bottom w:w="60" w:type="dxa"/>
              <w:left w:w="80" w:type="dxa"/>
              <w:right w:w="80" w:type="dxa"/>
            </w:tcMar>
            <w:shd w:fill="FFFFFF"/>
          </w:tcPr>
          <w:p>
            <w:pPr>
              <w:spacing w:before="0" w:after="0"/>
              <w:jc w:val="left"/>
            </w:pPr>
            <w:r>
              <w:rPr>
                <w:rFonts w:ascii="Times New Roman" w:hAnsi="Times New Roman"/>
                <w:sz w:val="16"/>
              </w:rPr>
              <w:t>S9: Reciprocal Comm (T_C)</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Standard</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0.0000</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0.0000</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0.0000</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0.00%</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Undefined</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Undefined</w:t>
            </w:r>
          </w:p>
        </w:tc>
        <w:tc>
          <w:tcPr>
            <w:tcW w:type="dxa" w:w="1120"/>
            <w:vAlign w:val="center"/>
            <w:tcMar>
              <w:top w:w="60" w:type="dxa"/>
              <w:bottom w:w="60" w:type="dxa"/>
              <w:left w:w="80" w:type="dxa"/>
              <w:right w:w="80" w:type="dxa"/>
            </w:tcMar>
            <w:shd w:fill="FFFFFF"/>
          </w:tcPr>
          <w:p>
            <w:pPr>
              <w:spacing w:before="0" w:after="0"/>
              <w:jc w:val="center"/>
            </w:pPr>
            <w:r>
              <w:rPr>
                <w:rFonts w:ascii="Times New Roman" w:hAnsi="Times New Roman"/>
                <w:sz w:val="16"/>
              </w:rPr>
              <w:t>Undefined</w:t>
            </w:r>
          </w:p>
        </w:tc>
      </w:tr>
      <w:tr>
        <w:tc>
          <w:tcPr>
            <w:tcW w:type="dxa" w:w="1120"/>
            <w:vAlign w:val="center"/>
            <w:tcMar>
              <w:top w:w="60" w:type="dxa"/>
              <w:bottom w:w="60" w:type="dxa"/>
              <w:left w:w="80" w:type="dxa"/>
              <w:right w:w="80" w:type="dxa"/>
            </w:tcMar>
            <w:shd w:fill="F8FAFC"/>
          </w:tcPr>
          <w:p>
            <w:pPr>
              <w:spacing w:before="0" w:after="0"/>
              <w:jc w:val="left"/>
            </w:pPr>
            <w:r>
              <w:rPr>
                <w:rFonts w:ascii="Times New Roman" w:hAnsi="Times New Roman"/>
                <w:sz w:val="16"/>
              </w:rPr>
              <w:t>S9: Reciprocal Comm (T_C)</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Extended</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0.0000</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0.0000</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0.0000</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0.00%</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Undefined</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Undefined</w:t>
            </w:r>
          </w:p>
        </w:tc>
        <w:tc>
          <w:tcPr>
            <w:tcW w:type="dxa" w:w="1120"/>
            <w:vAlign w:val="center"/>
            <w:tcMar>
              <w:top w:w="60" w:type="dxa"/>
              <w:bottom w:w="60" w:type="dxa"/>
              <w:left w:w="80" w:type="dxa"/>
              <w:right w:w="80" w:type="dxa"/>
            </w:tcMar>
            <w:shd w:fill="F8FAFC"/>
          </w:tcPr>
          <w:p>
            <w:pPr>
              <w:spacing w:before="0" w:after="0"/>
              <w:jc w:val="center"/>
            </w:pPr>
            <w:r>
              <w:rPr>
                <w:rFonts w:ascii="Times New Roman" w:hAnsi="Times New Roman"/>
                <w:sz w:val="16"/>
              </w:rPr>
              <w:t>Undefined</w:t>
            </w:r>
          </w:p>
        </w:tc>
      </w:tr>
    </w:tbl>
    <w:p>
      <w:pPr>
        <w:spacing w:after="80"/>
      </w:pPr>
    </w:p>
    <w:p>
      <w:pPr>
        <w:keepNext/>
        <w:spacing w:before="280" w:after="80"/>
      </w:pPr>
      <w:r>
        <w:rPr>
          <w:rFonts w:ascii="Times New Roman" w:hAnsi="Times New Roman"/>
          <w:b/>
          <w:color w:val="0F172A"/>
          <w:sz w:val="22"/>
        </w:rPr>
        <w:t>VIII. DISCUSSION AND CRITICAL ANALYSIS</w:t>
      </w:r>
    </w:p>
    <w:p>
      <w:pPr>
        <w:keepNext/>
        <w:spacing w:before="200" w:after="60"/>
      </w:pPr>
      <w:r>
        <w:rPr>
          <w:rFonts w:ascii="Times New Roman" w:hAnsi="Times New Roman"/>
          <w:b/>
          <w:i/>
          <w:color w:val="1E293B"/>
          <w:sz w:val="20"/>
        </w:rPr>
        <w:t>A. Derivation of the Closed-Set Flow Identity</w:t>
      </w:r>
    </w:p>
    <w:p>
      <w:pPr>
        <w:spacing w:before="0" w:after="120" w:line="276" w:lineRule="auto"/>
        <w:jc w:val="both"/>
      </w:pPr>
      <w:r>
        <w:rPr>
          <w:rFonts w:ascii="Times New Roman" w:hAnsi="Times New Roman"/>
          <w:sz w:val="20"/>
        </w:rPr>
        <w:t>To rigorously explain why edge ceilings fail to reduce colluder trust in closed topologies, we derive the stationary trust distribution from first principles. Let V = H U C partitioned into honest nodes H and colluders C. Let C' in R^(n x n) denote the row-stochastic normalized transition matrix (sum_j C'_ij = 1). The stationary trust vector satisfies t = (1 - a) * C'^T * t + a * p. Component-wise for node j: t_j = (1 - a) * sum_{i in V} C'_ij * t_i + a * p_j. Summing over all colluders c in C: sum_{c in C} t_c = (1 - a) * sum_{c in C} sum_{i in V} C'_ic * t_i + a * sum_{c in C} p_c. Splitting the summation over i into honest nodes h in H and colluders c' in C: sum_{c in C} t_c = (1 - a) * [sum_{c in C} sum_{h in H} C'_hc * t_h + sum_{c in C} sum_{c' in C} C'_{c' c} * t_{c'}] + a * sum_{c in C} p_c. Interchanging summation order in the internal term yields: sum_{c' in C} t_{c'} * (sum_{c in C} C'_{c' c}).</w:t>
      </w:r>
    </w:p>
    <w:p>
      <w:pPr>
        <w:spacing w:before="0" w:after="120" w:line="276" w:lineRule="auto"/>
        <w:jc w:val="both"/>
      </w:pPr>
      <w:r>
        <w:rPr>
          <w:rFonts w:ascii="Times New Roman" w:hAnsi="Times New Roman"/>
          <w:sz w:val="20"/>
        </w:rPr>
        <w:t>We impose three structural assumptions: (1) Strict Coalition Closure: colluders assign zero outgoing trust to honest peers (forall c' in C, h in H: C'_{c' h} = 0); (2) Zero Coalition Teleportation: pre-trust is concentrated exclusively on honest supernodes (sum_{c in C} p_c = 0); and (3) No Dangling Coalition Rows: internal unnormalized row sums are positive (sum_{c in C} A_{c' c} &gt; 0), ensuring sum_{c in C} C'_{c' c} = 1.0. (Crucial Note: The implemented engine fallback sets dangling rows to p; because p is supported only on honest supernodes, a dangling colluder row sends probability mass to honest peers, breaking closure. Strict closure requires that no coalition row dangles).</w:t>
      </w:r>
    </w:p>
    <w:p>
      <w:pPr>
        <w:spacing w:before="0" w:after="120" w:line="276" w:lineRule="auto"/>
        <w:jc w:val="both"/>
      </w:pPr>
      <w:r>
        <w:rPr>
          <w:rFonts w:ascii="Times New Roman" w:hAnsi="Times New Roman"/>
          <w:sz w:val="20"/>
        </w:rPr>
        <w:t>Substituting these conditions: sum_{c in C} t_c = (1 - a) * [sum_{h in H} t_h * sum_{c in C} C'_hc + sum_{c in C} t_c]. Subtracting (1 - a) * sum_{c in C} t_c from both sides yields: a * sum_{c in C} t_c = (1 - a) * sum_{h in H} t_h * sum_{c in C} C'_hc. Dividing by a establishes the Closed-Set Flow Identity:</w:t>
      </w:r>
    </w:p>
    <w:p>
      <w:pPr>
        <w:spacing w:before="80" w:after="80"/>
        <w:ind w:left="720" w:right="720"/>
        <w:jc w:val="center"/>
      </w:pPr>
      <w:r>
        <w:rPr>
          <w:rFonts w:ascii="Cambria Math" w:hAnsi="Cambria Math"/>
          <w:b/>
          <w:color w:val="0F172A"/>
          <w:sz w:val="20"/>
        </w:rPr>
        <w:t>T_C = sum_{c in C} t_c = ((1 - a) / a) * F_{H -&gt; C}</w:t>
      </w:r>
    </w:p>
    <w:p>
      <w:pPr>
        <w:spacing w:before="0" w:after="120" w:line="276" w:lineRule="auto"/>
        <w:jc w:val="both"/>
      </w:pPr>
      <w:r>
        <w:rPr>
          <w:rFonts w:ascii="Times New Roman" w:hAnsi="Times New Roman"/>
          <w:sz w:val="20"/>
        </w:rPr>
        <w:t>where F_{H -&gt; C} = sum_{h in H} t_h * sum_{c in C} C'_hc is the trust-weighted incoming flow. Crucially, the flow identity proves that total coalition trust depends strictly on incoming flow. For coalition trust to remain invariant under algorithmic alterations, incoming flow F_{H -&gt; C} must remain constant. Because C'_hc = A_hc / sum_k A_hk, if honest bridge nodes saturate internal honest edges, the denominator changes, altering C'_hc. Furthermore, shifts in honest trust t_H alter F_{H -&gt; C}. This explains why EW-EigenTrust exhibited statistically significant increases in S2 Extended (+13.50%), S4 (q &lt;= 0.20), and S6 (+13.38% to +17.92%). Preregistered Hypothesis H-1 was formally refuted.</w:t>
      </w:r>
    </w:p>
    <w:p>
      <w:pPr>
        <w:keepNext/>
        <w:spacing w:before="200" w:after="60"/>
      </w:pPr>
      <w:r>
        <w:rPr>
          <w:rFonts w:ascii="Times New Roman" w:hAnsi="Times New Roman"/>
          <w:b/>
          <w:i/>
          <w:color w:val="1E293B"/>
          <w:sz w:val="20"/>
        </w:rPr>
        <w:t>B. Diagnosis of Scenario 7 Degeneracy</w:t>
      </w:r>
    </w:p>
    <w:p>
      <w:pPr>
        <w:spacing w:before="0" w:after="120" w:line="276" w:lineRule="auto"/>
        <w:jc w:val="both"/>
      </w:pPr>
      <w:r>
        <w:rPr>
          <w:rFonts w:ascii="Times New Roman" w:hAnsi="Times New Roman"/>
          <w:sz w:val="20"/>
        </w:rPr>
        <w:t>In Scenario 7, colluder trust share was identically 0.0000 across all seeds. Root Cause: In benchmark execution (experiments/phase8_2_benchmark.py:723-744), honest peers selected partners strictly within their own pool (hn + sn). Honest nodes never transacted with or rated colluders (C'_hc = 0). Colluders had zero pre-trust (p_c = 0) and exchanged mutual ratings, meaning no dangling fallback occurred. Under these conditions, the non-homogeneous source term entering the coalition was identically zero: [I - (1 - a) * (C'_CC)^T] * t_C = 0, uniquely forcing t_C = 0. Zero colluder trust is a structurally degenerate artifact of topological disconnection, not proof of active dispute resistance.</w:t>
      </w:r>
    </w:p>
    <w:p>
      <w:pPr>
        <w:keepNext/>
        <w:spacing w:before="280" w:after="80"/>
      </w:pPr>
      <w:r>
        <w:rPr>
          <w:rFonts w:ascii="Times New Roman" w:hAnsi="Times New Roman"/>
          <w:b/>
          <w:color w:val="0F172A"/>
          <w:sz w:val="22"/>
        </w:rPr>
        <w:t>IX. LIMITATIONS AND THREATS TO VALIDITY</w:t>
      </w:r>
    </w:p>
    <w:p>
      <w:pPr>
        <w:spacing w:before="0" w:after="120" w:line="276" w:lineRule="auto"/>
        <w:jc w:val="both"/>
      </w:pPr>
      <w:r>
        <w:rPr>
          <w:rFonts w:ascii="Times New Roman" w:hAnsi="Times New Roman"/>
          <w:sz w:val="20"/>
        </w:rPr>
        <w:t>1. Closed-Set Flow Vulnerability: EW-EigenTrust cannot suppress closed collusive clusters that obtain honest incoming bridge edges under low-to-moderate connectivity (q &lt;= 0.20).</w:t>
        <w:br/>
        <w:t>2. Decentralized Evidence Portability Gap: In simulation, Tier 3 delivery verification relies on a global delivery key pool (D_sim). In decentralized networks, bilateral receipts do not carry raw chunks or Merkle proofs off-the-wire; third-party verification defaults to Tier 1/2 unless zero-knowledge delivery proofs or interactive challenges are deployed.</w:t>
        <w:br/>
        <w:t>3. Computational Runtime Overhead: Linear iteration over large evidence journals increased execution time from 1.81 ms (Vanilla) to 166.32 ms (92x overhead) in Scenario 6 extended scale (152,000 receipts). Production implementations require incremental matrix indexing.</w:t>
        <w:br/>
        <w:t>4. Network Scale Bounds: Empirical benchmarks were bounded to 20–50 simulated nodes; asymptotic behavior across thousands of dynamic peers remains unvalidated.</w:t>
        <w:br/>
        <w:t>5. No Production Claims: The reference codebase is an in-memory discrete-event simulation harness. It is not claimed to be formally verified or production-ready.</w:t>
      </w:r>
    </w:p>
    <w:p>
      <w:pPr>
        <w:keepNext/>
        <w:spacing w:before="280" w:after="80"/>
      </w:pPr>
      <w:r>
        <w:rPr>
          <w:rFonts w:ascii="Times New Roman" w:hAnsi="Times New Roman"/>
          <w:b/>
          <w:color w:val="0F172A"/>
          <w:sz w:val="22"/>
        </w:rPr>
        <w:t>X. SOCIAL-NETWORKING APPLICABILITY (CONCEPTUAL EXTENSION)</w:t>
      </w:r>
    </w:p>
    <w:p>
      <w:pPr>
        <w:spacing w:before="0" w:after="120" w:line="276" w:lineRule="auto"/>
        <w:jc w:val="both"/>
      </w:pPr>
      <w:r>
        <w:rPr>
          <w:rFonts w:ascii="Times New Roman" w:hAnsi="Times New Roman"/>
          <w:sz w:val="20"/>
        </w:rPr>
        <w:t>While empirically validated on P2P file sharing, the four-layer architecture provides a conceptual mapping to decentralized social networks (e.g., Nostr, Scuttlebutt): (1) Identity: user profiles anchored in did:peer-style keys with PoW bot throttling; (2) WoT: peer key-signing establishing bounded follow-graph trust; (3) Reputation: signed post attestations with dispute spam damping; and (4) Revocation: social guardian secret recovery with key rotation.</w:t>
      </w:r>
    </w:p>
    <w:p>
      <w:pPr>
        <w:spacing w:before="0" w:after="120" w:line="276" w:lineRule="auto"/>
        <w:jc w:val="both"/>
      </w:pPr>
      <w:r>
        <w:rPr>
          <w:rFonts w:ascii="Times New Roman" w:hAnsi="Times New Roman"/>
          <w:sz w:val="20"/>
        </w:rPr>
        <w:t>Primitive Differentiation: A PKI cross-certificate is a signed Layer 2 cryptographic delegation statement binding a public key to an identity subject within a bounded validity window ([t_valid, t_expires]). In contrast, a social follow expresses a social subscription relationship whose authentication, signature, and integrity properties depend on the platform protocol (e.g., Nostr signed contact lists vs. application-level pointers). A follow establishes subscription interest, not cryptographic key ownership. A social endorsement is a subjective Layer 3 reputation assertion regarding social conduct. Scope Boundary: No custom social network simulator or user-feed dataset was evaluated; social networking applicability is strictly formulated as a theoretical architectural extension.</w:t>
      </w:r>
    </w:p>
    <w:p>
      <w:pPr>
        <w:keepNext/>
        <w:spacing w:before="280" w:after="80"/>
      </w:pPr>
      <w:r>
        <w:rPr>
          <w:rFonts w:ascii="Times New Roman" w:hAnsi="Times New Roman"/>
          <w:b/>
          <w:color w:val="0F172A"/>
          <w:sz w:val="22"/>
        </w:rPr>
        <w:t>XI. CONCLUSION AND FUTURE WORK</w:t>
      </w:r>
    </w:p>
    <w:p>
      <w:pPr>
        <w:spacing w:before="0" w:after="120" w:line="276" w:lineRule="auto"/>
        <w:jc w:val="both"/>
      </w:pPr>
      <w:r>
        <w:rPr>
          <w:rFonts w:ascii="Times New Roman" w:hAnsi="Times New Roman"/>
          <w:sz w:val="20"/>
        </w:rPr>
        <w:t>This paper presented a four-layer decentralized PKI trust management architecture synthesizing self-certifying cryptographic identities, Web-of-Trust mesh PKI, Evidence-Weighted EigenTrust v1.8, and threshold certificate revocation. Empirical benchmarks across 1,140 trial runs demonstrated that while evidence weighting slashes leaky collusion by &gt;40% (p &lt; 10^-18) and preserves honest asymmetric uploaders (+11% to +13%), internal edge ceilings cannot suppress closed coalitions, in accordance with the Closed-Set Flow Identity (T_C = ((1 - a) / a) * F_{H -&gt; C}). Preregistered Hypothesis H-1 was formally refuted under receipt grinding, and Scenario 7 was diagnosed as structurally degenerate. Future research will focus on spectral bridge-cut partitioning to discount incoming bridge edges dynamically, zero-knowledge delivery proofs to bridge the decentralized portability gap, and empirical evaluation on empirical social network graphs.</w:t>
      </w:r>
    </w:p>
    <w:p>
      <w:pPr>
        <w:keepNext/>
        <w:spacing w:before="280" w:after="80"/>
      </w:pPr>
      <w:r>
        <w:rPr>
          <w:rFonts w:ascii="Times New Roman" w:hAnsi="Times New Roman"/>
          <w:b/>
          <w:color w:val="0F172A"/>
          <w:sz w:val="22"/>
        </w:rPr>
        <w:t>REFERENCES</w:t>
      </w:r>
    </w:p>
    <w:p>
      <w:pPr>
        <w:spacing w:before="0" w:after="60"/>
        <w:ind w:left="360" w:hanging="360"/>
        <w:jc w:val="both"/>
      </w:pPr>
      <w:r>
        <w:rPr>
          <w:rFonts w:ascii="Times New Roman" w:hAnsi="Times New Roman"/>
          <w:sz w:val="17"/>
        </w:rPr>
        <w:t>[1] A. Back, "Hashcash - A Denial of Service Counter-Measure," Technical Report, hashcash.org, 2002. [Online]. Available: http://www.hashcash.org/papers/hashcash.pdf</w:t>
      </w:r>
    </w:p>
    <w:p>
      <w:pPr>
        <w:spacing w:before="0" w:after="60"/>
        <w:ind w:left="360" w:hanging="360"/>
        <w:jc w:val="both"/>
      </w:pPr>
      <w:r>
        <w:rPr>
          <w:rFonts w:ascii="Times New Roman" w:hAnsi="Times New Roman"/>
          <w:sz w:val="17"/>
        </w:rPr>
        <w:t>[2] D. Hardman, S. Curran, and S. Curren, Eds., "Peer DID Method Specification," Decentralized Identity Foundation (DIF) Community Specification Draft, 2021. [Online]. Available: https://identity.foundation/peer-did-method-spec/</w:t>
      </w:r>
    </w:p>
    <w:p>
      <w:pPr>
        <w:spacing w:before="0" w:after="60"/>
        <w:ind w:left="360" w:hanging="360"/>
        <w:jc w:val="both"/>
      </w:pPr>
      <w:r>
        <w:rPr>
          <w:rFonts w:ascii="Times New Roman" w:hAnsi="Times New Roman"/>
          <w:sz w:val="17"/>
        </w:rPr>
        <w:t>[3] S. D. Kamvar, M. T. Schlosser, and H. Garcia-Molina, "The EigenTrust algorithm for reputation management in P2P networks," in Proc. 12th Int. Conf. World Wide Web (WWW '03), Budapest, Hungary, 2003, pp. 640–651. DOI: 10.1145/775152.775242.</w:t>
      </w:r>
    </w:p>
    <w:p>
      <w:pPr>
        <w:spacing w:before="0" w:after="60"/>
        <w:ind w:left="360" w:hanging="360"/>
        <w:jc w:val="both"/>
      </w:pPr>
      <w:r>
        <w:rPr>
          <w:rFonts w:ascii="Times New Roman" w:hAnsi="Times New Roman"/>
          <w:sz w:val="17"/>
        </w:rPr>
        <w:t>[4] R. C. Merkle, "Protocols for public key cryptosystems," in Proc. 1980 IEEE Symp. Security and Privacy, Oakland, CA, USA, 1980, pp. 122–134. DOI: 10.1109/SP.1980.10006.</w:t>
      </w:r>
    </w:p>
    <w:p>
      <w:pPr>
        <w:spacing w:before="0" w:after="60"/>
        <w:ind w:left="360" w:hanging="360"/>
        <w:jc w:val="both"/>
      </w:pPr>
      <w:r>
        <w:rPr>
          <w:rFonts w:ascii="Times New Roman" w:hAnsi="Times New Roman"/>
          <w:sz w:val="17"/>
        </w:rPr>
        <w:t>[5] A. Shamir, "How to share a secret," Commun. ACM, vol. 22, no. 11, pp. 612–613, Nov. 1979. DOI: 10.1145/359168.359176.</w:t>
      </w:r>
    </w:p>
    <w:p>
      <w:pPr>
        <w:spacing w:before="0" w:after="60"/>
        <w:ind w:left="360" w:hanging="360"/>
        <w:jc w:val="both"/>
      </w:pPr>
      <w:r>
        <w:rPr>
          <w:rFonts w:ascii="Times New Roman" w:hAnsi="Times New Roman"/>
          <w:sz w:val="17"/>
        </w:rPr>
        <w:t>[6] W3C Decentralized Identifier Working Group, "Decentralized Identifiers (DIDs) v1.0: Core Architecture, Data Model, and Representations," W3C Recommendation, July 2022. [Online]. Available: https://www.w3.org/TR/did-core/</w:t>
      </w:r>
    </w:p>
    <w:p>
      <w:pPr>
        <w:spacing w:before="0" w:after="60"/>
        <w:ind w:left="360" w:hanging="360"/>
        <w:jc w:val="both"/>
      </w:pPr>
      <w:r>
        <w:rPr>
          <w:rFonts w:ascii="Times New Roman" w:hAnsi="Times New Roman"/>
          <w:sz w:val="17"/>
        </w:rPr>
        <w:t>[7] P. Zimmermann, The Official PGP User's Guide, Cambridge, MA, USA: MIT Press, 1995. ISBN: 978-0262740173.</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