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JalDrishti: Rural Drinking Water Pump Failure Prediction &amp; Maintenance Prioritization</w:t>
      </w:r>
    </w:p>
    <w:p>
      <w:pPr>
        <w:jc w:val="center"/>
      </w:pPr>
      <w:r>
        <w:rPr>
          <w:b/>
        </w:rPr>
        <w:t>IBM SkillsBuild Data Analytics with AI Academic Internship</w:t>
        <w:br/>
      </w:r>
      <w:r>
        <w:t>BharatCares in association with AICTE</w:t>
        <w:br/>
      </w:r>
      <w:r>
        <w:t>Student: Shreyanka Dutta</w:t>
      </w:r>
    </w:p>
    <w:p>
      <w:pPr>
        <w:pStyle w:val="Heading1"/>
      </w:pPr>
      <w:r>
        <w:t>1. Abstract</w:t>
      </w:r>
    </w:p>
    <w:p>
      <w:r>
        <w:t>JalDrishti is a Streamlit-based machine-learning prototype for early warning and maintenance prioritization of rural drinking-water pumps. It demonstrates a complete data-to-decision workflow using synthetic telemetry data, data cleaning, feature engineering, Random Forest classification, contextual hydrogeological override logic, interactive visualization, and capacity-constrained field dispatch planning.</w:t>
      </w:r>
    </w:p>
    <w:p>
      <w:pPr>
        <w:pStyle w:val="Heading1"/>
      </w:pPr>
      <w:r>
        <w:t>2. Problem Statement</w:t>
      </w:r>
    </w:p>
    <w:p>
      <w:r>
        <w:t>Community borewells and solar/electric pumps may experience developing mechanical problems that are not reported early. Maintenance teams also have limited monthly field capacity. The project demonstrates how operational indicators can be combined to identify higher-risk pumps and prioritize maintenance interventions.</w:t>
      </w:r>
    </w:p>
    <w:p>
      <w:pPr>
        <w:pStyle w:val="Heading1"/>
      </w:pPr>
      <w:r>
        <w:t>3. Objectives</w:t>
      </w:r>
    </w:p>
    <w:p>
      <w:pPr>
        <w:pStyle w:val="ListBullet"/>
      </w:pPr>
      <w:r>
        <w:t>Generate realistic synthetic pump telemetry records.</w:t>
      </w:r>
    </w:p>
    <w:p>
      <w:pPr>
        <w:pStyle w:val="ListBullet"/>
      </w:pPr>
      <w:r>
        <w:t>Demonstrate cleaning of messy operational data.</w:t>
      </w:r>
    </w:p>
    <w:p>
      <w:pPr>
        <w:pStyle w:val="ListBullet"/>
      </w:pPr>
      <w:r>
        <w:t>Engineer operational and maintenance features.</w:t>
      </w:r>
    </w:p>
    <w:p>
      <w:pPr>
        <w:pStyle w:val="ListBullet"/>
      </w:pPr>
      <w:r>
        <w:t>Train a Random Forest classifier for breakdown-risk classification.</w:t>
      </w:r>
    </w:p>
    <w:p>
      <w:pPr>
        <w:pStyle w:val="ListBullet"/>
      </w:pPr>
      <w:r>
        <w:t>Estimate breakdown probability for pump records.</w:t>
      </w:r>
    </w:p>
    <w:p>
      <w:pPr>
        <w:pStyle w:val="ListBullet"/>
      </w:pPr>
      <w:r>
        <w:t>Apply a contextual groundwater-stress guardrail.</w:t>
      </w:r>
    </w:p>
    <w:p>
      <w:pPr>
        <w:pStyle w:val="ListBullet"/>
      </w:pPr>
      <w:r>
        <w:t>Prioritize mechanic dispatches under a limited monthly capacity.</w:t>
      </w:r>
    </w:p>
    <w:p>
      <w:pPr>
        <w:pStyle w:val="ListBullet"/>
      </w:pPr>
      <w:r>
        <w:t>Provide an interactive Streamlit decision-support dashboard.</w:t>
      </w:r>
    </w:p>
    <w:p>
      <w:pPr>
        <w:pStyle w:val="Heading1"/>
      </w:pPr>
      <w:r>
        <w:t>4. Dataset and Features</w:t>
      </w:r>
    </w:p>
    <w:p>
      <w:r>
        <w:t>The project uses 400 synthetic records generated with a fixed random seed. The dataset contains pump identifiers, location clusters, pump type, maintenance recency, tariff collection frequency, O&amp;M reserve balance, energy-to-discharge ratio, daily runtime, public-utility priority, aquifer-depth drop, and a demonstration target label.</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Meaning</w:t>
            </w:r>
          </w:p>
        </w:tc>
        <w:tc>
          <w:tcPr>
            <w:tcW w:type="dxa" w:w="2880"/>
          </w:tcPr>
          <w:p>
            <w:r>
              <w:t>Role</w:t>
            </w:r>
          </w:p>
        </w:tc>
      </w:tr>
      <w:tr>
        <w:tc>
          <w:tcPr>
            <w:tcW w:type="dxa" w:w="2880"/>
          </w:tcPr>
          <w:p>
            <w:r>
              <w:t>Recency_Days</w:t>
            </w:r>
          </w:p>
        </w:tc>
        <w:tc>
          <w:tcPr>
            <w:tcW w:type="dxa" w:w="2880"/>
          </w:tcPr>
          <w:p>
            <w:r>
              <w:t>Days since preventive maintenance</w:t>
            </w:r>
          </w:p>
        </w:tc>
        <w:tc>
          <w:tcPr>
            <w:tcW w:type="dxa" w:w="2880"/>
          </w:tcPr>
          <w:p>
            <w:r>
              <w:t>Risk feature</w:t>
            </w:r>
          </w:p>
        </w:tc>
      </w:tr>
      <w:tr>
        <w:tc>
          <w:tcPr>
            <w:tcW w:type="dxa" w:w="2880"/>
          </w:tcPr>
          <w:p>
            <w:r>
              <w:t>Tariff_Freq_6M</w:t>
            </w:r>
          </w:p>
        </w:tc>
        <w:tc>
          <w:tcPr>
            <w:tcW w:type="dxa" w:w="2880"/>
          </w:tcPr>
          <w:p>
            <w:r>
              <w:t>Tariff collection activity over six months</w:t>
            </w:r>
          </w:p>
        </w:tc>
        <w:tc>
          <w:tcPr>
            <w:tcW w:type="dxa" w:w="2880"/>
          </w:tcPr>
          <w:p>
            <w:r>
              <w:t>Operational feature</w:t>
            </w:r>
          </w:p>
        </w:tc>
      </w:tr>
      <w:tr>
        <w:tc>
          <w:tcPr>
            <w:tcW w:type="dxa" w:w="2880"/>
          </w:tcPr>
          <w:p>
            <w:r>
              <w:t>OM_Reserve_INR</w:t>
            </w:r>
          </w:p>
        </w:tc>
        <w:tc>
          <w:tcPr>
            <w:tcW w:type="dxa" w:w="2880"/>
          </w:tcPr>
          <w:p>
            <w:r>
              <w:t>O&amp;M reserve fund balance</w:t>
            </w:r>
          </w:p>
        </w:tc>
        <w:tc>
          <w:tcPr>
            <w:tcW w:type="dxa" w:w="2880"/>
          </w:tcPr>
          <w:p>
            <w:r>
              <w:t>Resource feature</w:t>
            </w:r>
          </w:p>
        </w:tc>
      </w:tr>
      <w:tr>
        <w:tc>
          <w:tcPr>
            <w:tcW w:type="dxa" w:w="2880"/>
          </w:tcPr>
          <w:p>
            <w:r>
              <w:t>Energy_Discharge_Ratio</w:t>
            </w:r>
          </w:p>
        </w:tc>
        <w:tc>
          <w:tcPr>
            <w:tcW w:type="dxa" w:w="2880"/>
          </w:tcPr>
          <w:p>
            <w:r>
              <w:t>Liters pumped per kWh</w:t>
            </w:r>
          </w:p>
        </w:tc>
        <w:tc>
          <w:tcPr>
            <w:tcW w:type="dxa" w:w="2880"/>
          </w:tcPr>
          <w:p>
            <w:r>
              <w:t>Efficiency/risk feature</w:t>
            </w:r>
          </w:p>
        </w:tc>
      </w:tr>
      <w:tr>
        <w:tc>
          <w:tcPr>
            <w:tcW w:type="dxa" w:w="2880"/>
          </w:tcPr>
          <w:p>
            <w:r>
              <w:t>Daily_Runtime_Hrs</w:t>
            </w:r>
          </w:p>
        </w:tc>
        <w:tc>
          <w:tcPr>
            <w:tcW w:type="dxa" w:w="2880"/>
          </w:tcPr>
          <w:p>
            <w:r>
              <w:t>Average daily pumping runtime</w:t>
            </w:r>
          </w:p>
        </w:tc>
        <w:tc>
          <w:tcPr>
            <w:tcW w:type="dxa" w:w="2880"/>
          </w:tcPr>
          <w:p>
            <w:r>
              <w:t>Operational feature</w:t>
            </w:r>
          </w:p>
        </w:tc>
      </w:tr>
      <w:tr>
        <w:tc>
          <w:tcPr>
            <w:tcW w:type="dxa" w:w="2880"/>
          </w:tcPr>
          <w:p>
            <w:r>
              <w:t>Public_Utility_Priority</w:t>
            </w:r>
          </w:p>
        </w:tc>
        <w:tc>
          <w:tcPr>
            <w:tcW w:type="dxa" w:w="2880"/>
          </w:tcPr>
          <w:p>
            <w:r>
              <w:t>Priority of key public-service locations</w:t>
            </w:r>
          </w:p>
        </w:tc>
        <w:tc>
          <w:tcPr>
            <w:tcW w:type="dxa" w:w="2880"/>
          </w:tcPr>
          <w:p>
            <w:r>
              <w:t>Dispatch priority</w:t>
            </w:r>
          </w:p>
        </w:tc>
      </w:tr>
      <w:tr>
        <w:tc>
          <w:tcPr>
            <w:tcW w:type="dxa" w:w="2880"/>
          </w:tcPr>
          <w:p>
            <w:r>
              <w:t>CGWB_Aquifer_Drop_m</w:t>
            </w:r>
          </w:p>
        </w:tc>
        <w:tc>
          <w:tcPr>
            <w:tcW w:type="dxa" w:w="2880"/>
          </w:tcPr>
          <w:p>
            <w:r>
              <w:t>Synthetic regional aquifer-depth drop</w:t>
            </w:r>
          </w:p>
        </w:tc>
        <w:tc>
          <w:tcPr>
            <w:tcW w:type="dxa" w:w="2880"/>
          </w:tcPr>
          <w:p>
            <w:r>
              <w:t>Contextual guardrail</w:t>
            </w:r>
          </w:p>
        </w:tc>
      </w:tr>
    </w:tbl>
    <w:p>
      <w:pPr>
        <w:pStyle w:val="Heading1"/>
      </w:pPr>
      <w:r>
        <w:t>5. Data Cleaning and Feature Engineering</w:t>
      </w:r>
    </w:p>
    <w:p>
      <w:r>
        <w:t>The application deliberately creates messy string fields such as values containing units and currency symbols. The preprocessing stage extracts numeric values from recency strings, removes the rupee symbol and comma separators from O&amp;M balances, and removes the L/kWh unit from the energy-to-discharge ratio. Missing numeric values are handled with median replacement.</w:t>
      </w:r>
    </w:p>
    <w:p>
      <w:pPr>
        <w:pStyle w:val="Heading1"/>
      </w:pPr>
      <w:r>
        <w:t>6. Machine Learning Method</w:t>
      </w:r>
    </w:p>
    <w:p>
      <w:r>
        <w:t>A Random Forest classifier is trained using Recency_Days, Tariff_Freq_6M, OM_Reserve_INR, Energy_Discharge_Ratio, and Daily_Runtime_Hrs. The data is split into training and test sets using an 80/20 stratified split. The classifier uses 100 trees and maximum depth 5.</w:t>
      </w:r>
    </w:p>
    <w:p>
      <w:pPr>
        <w:pStyle w:val="Heading1"/>
      </w:pPr>
      <w:r>
        <w:t>7. Contextual Ethical Guardrail</w:t>
      </w:r>
    </w:p>
    <w:p>
      <w:r>
        <w:t>When a pump is predicted as high risk and the regional aquifer-depth drop reaches the configured threshold, the prototype reclassifies the case as hydrogeological stress instead of automatically treating it as mechanical failure. This demonstrates how contextual information can alter an automated operational recommendation.</w:t>
      </w:r>
    </w:p>
    <w:p>
      <w:pPr>
        <w:pStyle w:val="Heading1"/>
      </w:pPr>
      <w:r>
        <w:t>8. Streamlit Application</w:t>
      </w:r>
    </w:p>
    <w:p>
      <w:r>
        <w:t>The dashboard contains capacity dispatch and field planning, telemetry and ML analytics, ethical guardrail verification, and raw-versus-cleaned data inspection. The dispatch section ranks eligible cases using model risk probability and public-utility priority while respecting a monthly mechanic-van capacity limit. A CSV field plan can be downloaded.</w:t>
      </w:r>
    </w:p>
    <w:p>
      <w:pPr>
        <w:pStyle w:val="Heading1"/>
      </w:pPr>
      <w:r>
        <w:t>9. Expected Outputs</w:t>
      </w:r>
    </w:p>
    <w:p>
      <w:pPr>
        <w:pStyle w:val="ListBullet"/>
      </w:pPr>
      <w:r>
        <w:t>Interactive pump-risk dashboard.</w:t>
      </w:r>
    </w:p>
    <w:p>
      <w:pPr>
        <w:pStyle w:val="ListBullet"/>
      </w:pPr>
      <w:r>
        <w:t>Breakdown-risk probability and classification.</w:t>
      </w:r>
    </w:p>
    <w:p>
      <w:pPr>
        <w:pStyle w:val="ListBullet"/>
      </w:pPr>
      <w:r>
        <w:t>Mechanical-risk versus hydrogeological-stress classification.</w:t>
      </w:r>
    </w:p>
    <w:p>
      <w:pPr>
        <w:pStyle w:val="ListBullet"/>
      </w:pPr>
      <w:r>
        <w:t>Prioritized maintenance dispatch table.</w:t>
      </w:r>
    </w:p>
    <w:p>
      <w:pPr>
        <w:pStyle w:val="ListBullet"/>
      </w:pPr>
      <w:r>
        <w:t>Downloadable CSV field plan.</w:t>
      </w:r>
    </w:p>
    <w:p>
      <w:pPr>
        <w:pStyle w:val="ListBullet"/>
      </w:pPr>
      <w:r>
        <w:t>Plotly visual analytics.</w:t>
      </w:r>
    </w:p>
    <w:p>
      <w:pPr>
        <w:pStyle w:val="Heading1"/>
      </w:pPr>
      <w:r>
        <w:t>10. Technology Stack</w:t>
      </w:r>
    </w:p>
    <w:p>
      <w:r>
        <w:t>Python, Pandas, NumPy, Scikit-learn, Plotly, and Streamlit.</w:t>
      </w:r>
    </w:p>
    <w:p>
      <w:pPr>
        <w:pStyle w:val="Heading1"/>
      </w:pPr>
      <w:r>
        <w:t>11. How to Run</w:t>
      </w:r>
    </w:p>
    <w:p>
      <w:r>
        <w:t>Install dependencies:</w:t>
      </w:r>
    </w:p>
    <w:p>
      <w:r>
        <w:t>pip install -r requirements.txt</w:t>
      </w:r>
    </w:p>
    <w:p>
      <w:r>
        <w:t>Run the application:</w:t>
      </w:r>
    </w:p>
    <w:p>
      <w:r>
        <w:t>streamlit run ShreyankaDutta_JalDrishti.py</w:t>
      </w:r>
    </w:p>
    <w:p>
      <w:pPr>
        <w:pStyle w:val="Heading1"/>
      </w:pPr>
      <w:r>
        <w:t>12. Limitations</w:t>
      </w:r>
    </w:p>
    <w:p>
      <w:r>
        <w:t>This is a synthetic-data coursework prototype. The demonstration target is generated from synthetic feature relationships, so model accuracy is not evidence of real-world predictive validity. A production system would require real field observations, validated failure labels, independent testing, domain-expert validation, monitoring, and appropriate data governance.</w:t>
      </w:r>
    </w:p>
    <w:p>
      <w:pPr>
        <w:pStyle w:val="Heading1"/>
      </w:pPr>
      <w:r>
        <w:t>13. Future Scope</w:t>
      </w:r>
    </w:p>
    <w:p>
      <w:pPr>
        <w:pStyle w:val="ListBullet"/>
      </w:pPr>
      <w:r>
        <w:t>Integrate validated pump telemetry and maintenance-history datasets.</w:t>
      </w:r>
    </w:p>
    <w:p>
      <w:pPr>
        <w:pStyle w:val="ListBullet"/>
      </w:pPr>
      <w:r>
        <w:t>Add time-series failure prediction and survival analysis.</w:t>
      </w:r>
    </w:p>
    <w:p>
      <w:pPr>
        <w:pStyle w:val="ListBullet"/>
      </w:pPr>
      <w:r>
        <w:t>Evaluate precision, recall, F1-score, ROC-AUC and calibration on independent data.</w:t>
      </w:r>
    </w:p>
    <w:p>
      <w:pPr>
        <w:pStyle w:val="ListBullet"/>
      </w:pPr>
      <w:r>
        <w:t>Add geospatial mapping of pump locations and service routes.</w:t>
      </w:r>
    </w:p>
    <w:p>
      <w:pPr>
        <w:pStyle w:val="ListBullet"/>
      </w:pPr>
      <w:r>
        <w:t>Integrate validated groundwater and weather datasets.</w:t>
      </w:r>
    </w:p>
    <w:p>
      <w:pPr>
        <w:pStyle w:val="ListBullet"/>
      </w:pPr>
      <w:r>
        <w:t>Add model monitoring and periodic retraining.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