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6666"/>
          <w:sz w:val="48"/>
        </w:rPr>
        <w:t>LEED Rating System &amp; Top 10 Green Buildings in India</w:t>
      </w:r>
    </w:p>
    <w:p>
      <w:pPr>
        <w:spacing w:after="400"/>
      </w:pPr>
      <w:r>
        <w:rPr>
          <w:rFonts w:ascii="Calibri" w:hAnsi="Calibri"/>
          <w:i/>
          <w:color w:val="646464"/>
          <w:sz w:val="24"/>
        </w:rPr>
        <w:t>Comprehensive Analysis of LEED v4/v4.1 Rating Categories, Point Allocations, Certification Levels, and Case Studies of India's Leading Sustainable Structures</w:t>
      </w:r>
    </w:p>
    <w:p>
      <w:pPr>
        <w:pStyle w:val="Heading1"/>
      </w:pPr>
      <w:r>
        <w:rPr>
          <w:rFonts w:ascii="Calibri" w:hAnsi="Calibri"/>
          <w:b/>
          <w:color w:val="006666"/>
          <w:sz w:val="32"/>
        </w:rPr>
        <w:t>1. Overview of LEED Rating System &amp; Characteristics</w:t>
      </w:r>
    </w:p>
    <w:p>
      <w:pPr>
        <w:spacing w:after="240"/>
      </w:pPr>
      <w:r>
        <w:t>Leadership in Energy and Environmental Design (LEED) is an globally recognized green building certification system developed by the U.S. Green Building Council (USGBC) and administered in India in collaboration with the Green Business Certification Inc. (GBCI) and the Indian Green Building Council (IGBC). LEED provides a framework for healthy, highly efficient, and cost-saving green buildings.</w:t>
      </w:r>
    </w:p>
    <w:p>
      <w:pPr>
        <w:pStyle w:val="Heading2"/>
      </w:pPr>
      <w:r>
        <w:rPr>
          <w:rFonts w:ascii="Calibri" w:hAnsi="Calibri"/>
          <w:b/>
          <w:color w:val="333333"/>
          <w:sz w:val="26"/>
        </w:rPr>
        <w:t>1.1 LEED Certification Levels</w:t>
      </w:r>
    </w:p>
    <w:p>
      <w:pPr>
        <w:spacing w:after="160"/>
      </w:pPr>
      <w:r>
        <w:t>LEED certification is awarded based on a 100-point base rating scale, with up to 10 additional bonus points available for Regional Priority and Innovation. The four certification tiers are defined as follows: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006666"/>
            <w:tcMar>
              <w:top w:w="120" w:type="dxa"/>
              <w:bottom w:w="120" w:type="dxa"/>
              <w:left w:w="150" w:type="dxa"/>
              <w:right w:w="150" w:type="dxa"/>
            </w:tcMar>
          </w:tcPr>
          <w:p>
            <w:pPr>
              <w:jc w:val="left"/>
            </w:pPr>
            <w:r>
              <w:rPr>
                <w:rFonts w:ascii="Calibri" w:hAnsi="Calibri"/>
                <w:b/>
                <w:color w:val="FFFFFF"/>
                <w:sz w:val="20"/>
              </w:rPr>
              <w:t>Certification Level</w:t>
            </w:r>
          </w:p>
        </w:tc>
        <w:tc>
          <w:tcPr>
            <w:tcW w:type="dxa" w:w="3120"/>
            <w:shd w:fill="006666"/>
            <w:tcMar>
              <w:top w:w="120" w:type="dxa"/>
              <w:bottom w:w="120" w:type="dxa"/>
              <w:left w:w="150" w:type="dxa"/>
              <w:right w:w="150" w:type="dxa"/>
            </w:tcMar>
          </w:tcPr>
          <w:p>
            <w:pPr>
              <w:jc w:val="left"/>
            </w:pPr>
            <w:r>
              <w:rPr>
                <w:rFonts w:ascii="Calibri" w:hAnsi="Calibri"/>
                <w:b/>
                <w:color w:val="FFFFFF"/>
                <w:sz w:val="20"/>
              </w:rPr>
              <w:t>Points Required</w:t>
            </w:r>
          </w:p>
        </w:tc>
        <w:tc>
          <w:tcPr>
            <w:tcW w:type="dxa" w:w="3120"/>
            <w:shd w:fill="006666"/>
            <w:tcMar>
              <w:top w:w="120" w:type="dxa"/>
              <w:bottom w:w="120" w:type="dxa"/>
              <w:left w:w="150" w:type="dxa"/>
              <w:right w:w="150" w:type="dxa"/>
            </w:tcMar>
          </w:tcPr>
          <w:p>
            <w:pPr>
              <w:jc w:val="left"/>
            </w:pPr>
            <w:r>
              <w:rPr>
                <w:rFonts w:ascii="Calibri" w:hAnsi="Calibri"/>
                <w:b/>
                <w:color w:val="FFFFFF"/>
                <w:sz w:val="20"/>
              </w:rPr>
              <w:t>Description &amp; Sustainability Threshold</w:t>
            </w:r>
          </w:p>
        </w:tc>
      </w:tr>
      <w:tr>
        <w:tc>
          <w:tcPr>
            <w:tcW w:type="dxa" w:w="3120"/>
            <w:shd w:fill="F9F9F9"/>
            <w:tcMar>
              <w:top w:w="100" w:type="dxa"/>
              <w:bottom w:w="100" w:type="dxa"/>
              <w:left w:w="150" w:type="dxa"/>
              <w:right w:w="150" w:type="dxa"/>
            </w:tcMar>
          </w:tcPr>
          <w:p>
            <w:r>
              <w:rPr>
                <w:rFonts w:ascii="Calibri" w:hAnsi="Calibri"/>
                <w:b/>
                <w:sz w:val="20"/>
              </w:rPr>
              <w:t>LEED Certified</w:t>
            </w:r>
          </w:p>
        </w:tc>
        <w:tc>
          <w:tcPr>
            <w:tcW w:type="dxa" w:w="3120"/>
            <w:shd w:fill="F9F9F9"/>
            <w:tcMar>
              <w:top w:w="100" w:type="dxa"/>
              <w:bottom w:w="100" w:type="dxa"/>
              <w:left w:w="150" w:type="dxa"/>
              <w:right w:w="150" w:type="dxa"/>
            </w:tcMar>
          </w:tcPr>
          <w:p>
            <w:r>
              <w:rPr>
                <w:rFonts w:ascii="Calibri" w:hAnsi="Calibri"/>
                <w:sz w:val="20"/>
              </w:rPr>
              <w:t>40 – 49 Points</w:t>
            </w:r>
          </w:p>
        </w:tc>
        <w:tc>
          <w:tcPr>
            <w:tcW w:type="dxa" w:w="3120"/>
            <w:shd w:fill="F9F9F9"/>
            <w:tcMar>
              <w:top w:w="100" w:type="dxa"/>
              <w:bottom w:w="100" w:type="dxa"/>
              <w:left w:w="150" w:type="dxa"/>
              <w:right w:w="150" w:type="dxa"/>
            </w:tcMar>
          </w:tcPr>
          <w:p>
            <w:r>
              <w:rPr>
                <w:rFonts w:ascii="Calibri" w:hAnsi="Calibri"/>
                <w:sz w:val="20"/>
              </w:rPr>
              <w:t>Meets fundamental green building requirements and basic performance benchmarks.</w:t>
            </w:r>
          </w:p>
        </w:tc>
      </w:tr>
      <w:tr>
        <w:tc>
          <w:tcPr>
            <w:tcW w:type="dxa" w:w="3120"/>
            <w:shd w:fill="FFFFFF"/>
            <w:tcMar>
              <w:top w:w="100" w:type="dxa"/>
              <w:bottom w:w="100" w:type="dxa"/>
              <w:left w:w="150" w:type="dxa"/>
              <w:right w:w="150" w:type="dxa"/>
            </w:tcMar>
          </w:tcPr>
          <w:p>
            <w:r>
              <w:rPr>
                <w:rFonts w:ascii="Calibri" w:hAnsi="Calibri"/>
                <w:b/>
                <w:sz w:val="20"/>
              </w:rPr>
              <w:t>LEED Silver</w:t>
            </w:r>
          </w:p>
        </w:tc>
        <w:tc>
          <w:tcPr>
            <w:tcW w:type="dxa" w:w="3120"/>
            <w:shd w:fill="FFFFFF"/>
            <w:tcMar>
              <w:top w:w="100" w:type="dxa"/>
              <w:bottom w:w="100" w:type="dxa"/>
              <w:left w:w="150" w:type="dxa"/>
              <w:right w:w="150" w:type="dxa"/>
            </w:tcMar>
          </w:tcPr>
          <w:p>
            <w:r>
              <w:rPr>
                <w:rFonts w:ascii="Calibri" w:hAnsi="Calibri"/>
                <w:sz w:val="20"/>
              </w:rPr>
              <w:t>50 – 59 Points</w:t>
            </w:r>
          </w:p>
        </w:tc>
        <w:tc>
          <w:tcPr>
            <w:tcW w:type="dxa" w:w="3120"/>
            <w:shd w:fill="FFFFFF"/>
            <w:tcMar>
              <w:top w:w="100" w:type="dxa"/>
              <w:bottom w:w="100" w:type="dxa"/>
              <w:left w:w="150" w:type="dxa"/>
              <w:right w:w="150" w:type="dxa"/>
            </w:tcMar>
          </w:tcPr>
          <w:p>
            <w:r>
              <w:rPr>
                <w:rFonts w:ascii="Calibri" w:hAnsi="Calibri"/>
                <w:sz w:val="20"/>
              </w:rPr>
              <w:t>Demonstrates notable performance beyond standard efficiency across multiple impact categories.</w:t>
            </w:r>
          </w:p>
        </w:tc>
      </w:tr>
      <w:tr>
        <w:tc>
          <w:tcPr>
            <w:tcW w:type="dxa" w:w="3120"/>
            <w:shd w:fill="F9F9F9"/>
            <w:tcMar>
              <w:top w:w="100" w:type="dxa"/>
              <w:bottom w:w="100" w:type="dxa"/>
              <w:left w:w="150" w:type="dxa"/>
              <w:right w:w="150" w:type="dxa"/>
            </w:tcMar>
          </w:tcPr>
          <w:p>
            <w:r>
              <w:rPr>
                <w:rFonts w:ascii="Calibri" w:hAnsi="Calibri"/>
                <w:b/>
                <w:sz w:val="20"/>
              </w:rPr>
              <w:t>LEED Gold</w:t>
            </w:r>
          </w:p>
        </w:tc>
        <w:tc>
          <w:tcPr>
            <w:tcW w:type="dxa" w:w="3120"/>
            <w:shd w:fill="F9F9F9"/>
            <w:tcMar>
              <w:top w:w="100" w:type="dxa"/>
              <w:bottom w:w="100" w:type="dxa"/>
              <w:left w:w="150" w:type="dxa"/>
              <w:right w:w="150" w:type="dxa"/>
            </w:tcMar>
          </w:tcPr>
          <w:p>
            <w:r>
              <w:rPr>
                <w:rFonts w:ascii="Calibri" w:hAnsi="Calibri"/>
                <w:sz w:val="20"/>
              </w:rPr>
              <w:t>60 – 79 Points</w:t>
            </w:r>
          </w:p>
        </w:tc>
        <w:tc>
          <w:tcPr>
            <w:tcW w:type="dxa" w:w="3120"/>
            <w:shd w:fill="F9F9F9"/>
            <w:tcMar>
              <w:top w:w="100" w:type="dxa"/>
              <w:bottom w:w="100" w:type="dxa"/>
              <w:left w:w="150" w:type="dxa"/>
              <w:right w:w="150" w:type="dxa"/>
            </w:tcMar>
          </w:tcPr>
          <w:p>
            <w:r>
              <w:rPr>
                <w:rFonts w:ascii="Calibri" w:hAnsi="Calibri"/>
                <w:sz w:val="20"/>
              </w:rPr>
              <w:t>High-performance facility exhibiting advanced sustainability, efficiency, and indoor environmental quality.</w:t>
            </w:r>
          </w:p>
        </w:tc>
      </w:tr>
      <w:tr>
        <w:tc>
          <w:tcPr>
            <w:tcW w:type="dxa" w:w="3120"/>
            <w:shd w:fill="FFFFFF"/>
            <w:tcMar>
              <w:top w:w="100" w:type="dxa"/>
              <w:bottom w:w="100" w:type="dxa"/>
              <w:left w:w="150" w:type="dxa"/>
              <w:right w:w="150" w:type="dxa"/>
            </w:tcMar>
          </w:tcPr>
          <w:p>
            <w:r>
              <w:rPr>
                <w:rFonts w:ascii="Calibri" w:hAnsi="Calibri"/>
                <w:b/>
                <w:sz w:val="20"/>
              </w:rPr>
              <w:t>LEED Platinum</w:t>
            </w:r>
          </w:p>
        </w:tc>
        <w:tc>
          <w:tcPr>
            <w:tcW w:type="dxa" w:w="3120"/>
            <w:shd w:fill="FFFFFF"/>
            <w:tcMar>
              <w:top w:w="100" w:type="dxa"/>
              <w:bottom w:w="100" w:type="dxa"/>
              <w:left w:w="150" w:type="dxa"/>
              <w:right w:w="150" w:type="dxa"/>
            </w:tcMar>
          </w:tcPr>
          <w:p>
            <w:r>
              <w:rPr>
                <w:rFonts w:ascii="Calibri" w:hAnsi="Calibri"/>
                <w:sz w:val="20"/>
              </w:rPr>
              <w:t>80+ Points</w:t>
            </w:r>
          </w:p>
        </w:tc>
        <w:tc>
          <w:tcPr>
            <w:tcW w:type="dxa" w:w="3120"/>
            <w:shd w:fill="FFFFFF"/>
            <w:tcMar>
              <w:top w:w="100" w:type="dxa"/>
              <w:bottom w:w="100" w:type="dxa"/>
              <w:left w:w="150" w:type="dxa"/>
              <w:right w:w="150" w:type="dxa"/>
            </w:tcMar>
          </w:tcPr>
          <w:p>
            <w:r>
              <w:rPr>
                <w:rFonts w:ascii="Calibri" w:hAnsi="Calibri"/>
                <w:sz w:val="20"/>
              </w:rPr>
              <w:t>Highest level of green building achievement, representing world-class leadership and minimal environmental footprint.</w:t>
            </w:r>
          </w:p>
        </w:tc>
      </w:tr>
    </w:tbl>
    <w:p>
      <w:pPr>
        <w:spacing w:after="240"/>
      </w:pPr>
    </w:p>
    <w:p>
      <w:pPr>
        <w:pStyle w:val="Heading2"/>
      </w:pPr>
      <w:r>
        <w:rPr>
          <w:rFonts w:ascii="Calibri" w:hAnsi="Calibri"/>
          <w:b/>
          <w:color w:val="333333"/>
          <w:sz w:val="26"/>
        </w:rPr>
        <w:t>1.2 LEED Credit Categories &amp; Point Allocation Breakdown</w:t>
      </w:r>
    </w:p>
    <w:p>
      <w:pPr>
        <w:spacing w:after="160"/>
      </w:pPr>
      <w:r>
        <w:t>Points are distributed across key environmental and architectural categories (characteristics). Each category contains mandatory Prerequisites (0 points, required) and optional Credits (worth specified points).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006666"/>
            <w:tcMar>
              <w:top w:w="120" w:type="dxa"/>
              <w:bottom w:w="120" w:type="dxa"/>
              <w:left w:w="150" w:type="dxa"/>
              <w:right w:w="150" w:type="dxa"/>
            </w:tcMar>
          </w:tcPr>
          <w:p>
            <w:r>
              <w:rPr>
                <w:rFonts w:ascii="Calibri" w:hAnsi="Calibri"/>
                <w:b/>
                <w:color w:val="FFFFFF"/>
                <w:sz w:val="20"/>
              </w:rPr>
              <w:t>LEED Characteristic / Category</w:t>
            </w:r>
          </w:p>
        </w:tc>
        <w:tc>
          <w:tcPr>
            <w:tcW w:type="dxa" w:w="3120"/>
            <w:shd w:fill="006666"/>
            <w:tcMar>
              <w:top w:w="120" w:type="dxa"/>
              <w:bottom w:w="120" w:type="dxa"/>
              <w:left w:w="150" w:type="dxa"/>
              <w:right w:w="150" w:type="dxa"/>
            </w:tcMar>
          </w:tcPr>
          <w:p>
            <w:r>
              <w:rPr>
                <w:rFonts w:ascii="Calibri" w:hAnsi="Calibri"/>
                <w:b/>
                <w:color w:val="FFFFFF"/>
                <w:sz w:val="20"/>
              </w:rPr>
              <w:t>Max Points</w:t>
            </w:r>
          </w:p>
        </w:tc>
        <w:tc>
          <w:tcPr>
            <w:tcW w:type="dxa" w:w="3120"/>
            <w:shd w:fill="006666"/>
            <w:tcMar>
              <w:top w:w="120" w:type="dxa"/>
              <w:bottom w:w="120" w:type="dxa"/>
              <w:left w:w="150" w:type="dxa"/>
              <w:right w:w="150" w:type="dxa"/>
            </w:tcMar>
          </w:tcPr>
          <w:p>
            <w:r>
              <w:rPr>
                <w:rFonts w:ascii="Calibri" w:hAnsi="Calibri"/>
                <w:b/>
                <w:color w:val="FFFFFF"/>
                <w:sz w:val="20"/>
              </w:rPr>
              <w:t>Key Features &amp; Allocation Focus</w:t>
            </w:r>
          </w:p>
        </w:tc>
      </w:tr>
      <w:tr>
        <w:tc>
          <w:tcPr>
            <w:tcW w:type="dxa" w:w="3120"/>
            <w:shd w:fill="F9F9F9"/>
            <w:tcMar>
              <w:top w:w="100" w:type="dxa"/>
              <w:bottom w:w="100" w:type="dxa"/>
              <w:left w:w="150" w:type="dxa"/>
              <w:right w:w="150" w:type="dxa"/>
            </w:tcMar>
          </w:tcPr>
          <w:p>
            <w:r>
              <w:rPr>
                <w:rFonts w:ascii="Calibri" w:hAnsi="Calibri"/>
                <w:b/>
                <w:sz w:val="20"/>
              </w:rPr>
              <w:t>Integrative Process (IP)</w:t>
            </w:r>
          </w:p>
        </w:tc>
        <w:tc>
          <w:tcPr>
            <w:tcW w:type="dxa" w:w="3120"/>
            <w:shd w:fill="F9F9F9"/>
            <w:tcMar>
              <w:top w:w="100" w:type="dxa"/>
              <w:bottom w:w="100" w:type="dxa"/>
              <w:left w:w="150" w:type="dxa"/>
              <w:right w:w="150" w:type="dxa"/>
            </w:tcMar>
          </w:tcPr>
          <w:p>
            <w:r>
              <w:rPr>
                <w:rFonts w:ascii="Calibri" w:hAnsi="Calibri"/>
                <w:b/>
                <w:sz w:val="20"/>
              </w:rPr>
              <w:t>1 to 2</w:t>
            </w:r>
          </w:p>
        </w:tc>
        <w:tc>
          <w:tcPr>
            <w:tcW w:type="dxa" w:w="3120"/>
            <w:shd w:fill="F9F9F9"/>
            <w:tcMar>
              <w:top w:w="100" w:type="dxa"/>
              <w:bottom w:w="100" w:type="dxa"/>
              <w:left w:w="150" w:type="dxa"/>
              <w:right w:w="150" w:type="dxa"/>
            </w:tcMar>
          </w:tcPr>
          <w:p>
            <w:r>
              <w:rPr>
                <w:rFonts w:ascii="Calibri" w:hAnsi="Calibri"/>
                <w:sz w:val="20"/>
              </w:rPr>
              <w:t>Early cross-disciplinary collaboration, energy &amp; water systems modeling prior to design finalization.</w:t>
            </w:r>
          </w:p>
        </w:tc>
      </w:tr>
      <w:tr>
        <w:tc>
          <w:tcPr>
            <w:tcW w:type="dxa" w:w="3120"/>
            <w:shd w:fill="FFFFFF"/>
            <w:tcMar>
              <w:top w:w="100" w:type="dxa"/>
              <w:bottom w:w="100" w:type="dxa"/>
              <w:left w:w="150" w:type="dxa"/>
              <w:right w:w="150" w:type="dxa"/>
            </w:tcMar>
          </w:tcPr>
          <w:p>
            <w:r>
              <w:rPr>
                <w:rFonts w:ascii="Calibri" w:hAnsi="Calibri"/>
                <w:b/>
                <w:sz w:val="20"/>
              </w:rPr>
              <w:t>Location &amp; Transportation (LT)</w:t>
            </w:r>
          </w:p>
        </w:tc>
        <w:tc>
          <w:tcPr>
            <w:tcW w:type="dxa" w:w="3120"/>
            <w:shd w:fill="FFFFFF"/>
            <w:tcMar>
              <w:top w:w="100" w:type="dxa"/>
              <w:bottom w:w="100" w:type="dxa"/>
              <w:left w:w="150" w:type="dxa"/>
              <w:right w:w="150" w:type="dxa"/>
            </w:tcMar>
          </w:tcPr>
          <w:p>
            <w:r>
              <w:rPr>
                <w:rFonts w:ascii="Calibri" w:hAnsi="Calibri"/>
                <w:b/>
                <w:sz w:val="20"/>
              </w:rPr>
              <w:t>16</w:t>
            </w:r>
          </w:p>
        </w:tc>
        <w:tc>
          <w:tcPr>
            <w:tcW w:type="dxa" w:w="3120"/>
            <w:shd w:fill="FFFFFF"/>
            <w:tcMar>
              <w:top w:w="100" w:type="dxa"/>
              <w:bottom w:w="100" w:type="dxa"/>
              <w:left w:w="150" w:type="dxa"/>
              <w:right w:w="150" w:type="dxa"/>
            </w:tcMar>
          </w:tcPr>
          <w:p>
            <w:r>
              <w:rPr>
                <w:rFonts w:ascii="Calibri" w:hAnsi="Calibri"/>
                <w:sz w:val="20"/>
              </w:rPr>
              <w:t>Access to public transit, bicycle infrastructure, EV charging, walkability, sensitive land protection, and brownfield redevelopment.</w:t>
            </w:r>
          </w:p>
        </w:tc>
      </w:tr>
      <w:tr>
        <w:tc>
          <w:tcPr>
            <w:tcW w:type="dxa" w:w="3120"/>
            <w:shd w:fill="F9F9F9"/>
            <w:tcMar>
              <w:top w:w="100" w:type="dxa"/>
              <w:bottom w:w="100" w:type="dxa"/>
              <w:left w:w="150" w:type="dxa"/>
              <w:right w:w="150" w:type="dxa"/>
            </w:tcMar>
          </w:tcPr>
          <w:p>
            <w:r>
              <w:rPr>
                <w:rFonts w:ascii="Calibri" w:hAnsi="Calibri"/>
                <w:b/>
                <w:sz w:val="20"/>
              </w:rPr>
              <w:t>Sustainable Sites (SS)</w:t>
            </w:r>
          </w:p>
        </w:tc>
        <w:tc>
          <w:tcPr>
            <w:tcW w:type="dxa" w:w="3120"/>
            <w:shd w:fill="F9F9F9"/>
            <w:tcMar>
              <w:top w:w="100" w:type="dxa"/>
              <w:bottom w:w="100" w:type="dxa"/>
              <w:left w:w="150" w:type="dxa"/>
              <w:right w:w="150" w:type="dxa"/>
            </w:tcMar>
          </w:tcPr>
          <w:p>
            <w:r>
              <w:rPr>
                <w:rFonts w:ascii="Calibri" w:hAnsi="Calibri"/>
                <w:b/>
                <w:sz w:val="20"/>
              </w:rPr>
              <w:t>10</w:t>
            </w:r>
          </w:p>
        </w:tc>
        <w:tc>
          <w:tcPr>
            <w:tcW w:type="dxa" w:w="3120"/>
            <w:shd w:fill="F9F9F9"/>
            <w:tcMar>
              <w:top w:w="100" w:type="dxa"/>
              <w:bottom w:w="100" w:type="dxa"/>
              <w:left w:w="150" w:type="dxa"/>
              <w:right w:w="150" w:type="dxa"/>
            </w:tcMar>
          </w:tcPr>
          <w:p>
            <w:r>
              <w:rPr>
                <w:rFonts w:ascii="Calibri" w:hAnsi="Calibri"/>
                <w:sz w:val="20"/>
              </w:rPr>
              <w:t>Site assessment, rainwater management, heat island reduction, light pollution reduction, and ecosystem restoration.</w:t>
            </w:r>
          </w:p>
        </w:tc>
      </w:tr>
      <w:tr>
        <w:tc>
          <w:tcPr>
            <w:tcW w:type="dxa" w:w="3120"/>
            <w:shd w:fill="FFFFFF"/>
            <w:tcMar>
              <w:top w:w="100" w:type="dxa"/>
              <w:bottom w:w="100" w:type="dxa"/>
              <w:left w:w="150" w:type="dxa"/>
              <w:right w:w="150" w:type="dxa"/>
            </w:tcMar>
          </w:tcPr>
          <w:p>
            <w:r>
              <w:rPr>
                <w:rFonts w:ascii="Calibri" w:hAnsi="Calibri"/>
                <w:b/>
                <w:sz w:val="20"/>
              </w:rPr>
              <w:t>Water Efficiency (WE)</w:t>
            </w:r>
          </w:p>
        </w:tc>
        <w:tc>
          <w:tcPr>
            <w:tcW w:type="dxa" w:w="3120"/>
            <w:shd w:fill="FFFFFF"/>
            <w:tcMar>
              <w:top w:w="100" w:type="dxa"/>
              <w:bottom w:w="100" w:type="dxa"/>
              <w:left w:w="150" w:type="dxa"/>
              <w:right w:w="150" w:type="dxa"/>
            </w:tcMar>
          </w:tcPr>
          <w:p>
            <w:r>
              <w:rPr>
                <w:rFonts w:ascii="Calibri" w:hAnsi="Calibri"/>
                <w:b/>
                <w:sz w:val="20"/>
              </w:rPr>
              <w:t>11</w:t>
            </w:r>
          </w:p>
        </w:tc>
        <w:tc>
          <w:tcPr>
            <w:tcW w:type="dxa" w:w="3120"/>
            <w:shd w:fill="FFFFFF"/>
            <w:tcMar>
              <w:top w:w="100" w:type="dxa"/>
              <w:bottom w:w="100" w:type="dxa"/>
              <w:left w:w="150" w:type="dxa"/>
              <w:right w:w="150" w:type="dxa"/>
            </w:tcMar>
          </w:tcPr>
          <w:p>
            <w:r>
              <w:rPr>
                <w:rFonts w:ascii="Calibri" w:hAnsi="Calibri"/>
                <w:sz w:val="20"/>
              </w:rPr>
              <w:t>Indoor water reduction, outdoor irrigation reduction, water metering, and process water optimization.</w:t>
            </w:r>
          </w:p>
        </w:tc>
      </w:tr>
      <w:tr>
        <w:tc>
          <w:tcPr>
            <w:tcW w:type="dxa" w:w="3120"/>
            <w:shd w:fill="F9F9F9"/>
            <w:tcMar>
              <w:top w:w="100" w:type="dxa"/>
              <w:bottom w:w="100" w:type="dxa"/>
              <w:left w:w="150" w:type="dxa"/>
              <w:right w:w="150" w:type="dxa"/>
            </w:tcMar>
          </w:tcPr>
          <w:p>
            <w:r>
              <w:rPr>
                <w:rFonts w:ascii="Calibri" w:hAnsi="Calibri"/>
                <w:b/>
                <w:sz w:val="20"/>
              </w:rPr>
              <w:t>Energy &amp; Atmosphere (EA)</w:t>
            </w:r>
          </w:p>
        </w:tc>
        <w:tc>
          <w:tcPr>
            <w:tcW w:type="dxa" w:w="3120"/>
            <w:shd w:fill="F9F9F9"/>
            <w:tcMar>
              <w:top w:w="100" w:type="dxa"/>
              <w:bottom w:w="100" w:type="dxa"/>
              <w:left w:w="150" w:type="dxa"/>
              <w:right w:w="150" w:type="dxa"/>
            </w:tcMar>
          </w:tcPr>
          <w:p>
            <w:r>
              <w:rPr>
                <w:rFonts w:ascii="Calibri" w:hAnsi="Calibri"/>
                <w:b/>
                <w:sz w:val="20"/>
              </w:rPr>
              <w:t>33</w:t>
            </w:r>
          </w:p>
        </w:tc>
        <w:tc>
          <w:tcPr>
            <w:tcW w:type="dxa" w:w="3120"/>
            <w:shd w:fill="F9F9F9"/>
            <w:tcMar>
              <w:top w:w="100" w:type="dxa"/>
              <w:bottom w:w="100" w:type="dxa"/>
              <w:left w:w="150" w:type="dxa"/>
              <w:right w:w="150" w:type="dxa"/>
            </w:tcMar>
          </w:tcPr>
          <w:p>
            <w:r>
              <w:rPr>
                <w:rFonts w:ascii="Calibri" w:hAnsi="Calibri"/>
                <w:sz w:val="20"/>
              </w:rPr>
              <w:t>Fundamental/enhanced commissioning, energy performance optimization, renewable energy, refrigerant management, and grid harmonization.</w:t>
            </w:r>
          </w:p>
        </w:tc>
      </w:tr>
      <w:tr>
        <w:tc>
          <w:tcPr>
            <w:tcW w:type="dxa" w:w="3120"/>
            <w:shd w:fill="FFFFFF"/>
            <w:tcMar>
              <w:top w:w="100" w:type="dxa"/>
              <w:bottom w:w="100" w:type="dxa"/>
              <w:left w:w="150" w:type="dxa"/>
              <w:right w:w="150" w:type="dxa"/>
            </w:tcMar>
          </w:tcPr>
          <w:p>
            <w:r>
              <w:rPr>
                <w:rFonts w:ascii="Calibri" w:hAnsi="Calibri"/>
                <w:b/>
                <w:sz w:val="20"/>
              </w:rPr>
              <w:t>Materials &amp; Resources (MR)</w:t>
            </w:r>
          </w:p>
        </w:tc>
        <w:tc>
          <w:tcPr>
            <w:tcW w:type="dxa" w:w="3120"/>
            <w:shd w:fill="FFFFFF"/>
            <w:tcMar>
              <w:top w:w="100" w:type="dxa"/>
              <w:bottom w:w="100" w:type="dxa"/>
              <w:left w:w="150" w:type="dxa"/>
              <w:right w:w="150" w:type="dxa"/>
            </w:tcMar>
          </w:tcPr>
          <w:p>
            <w:r>
              <w:rPr>
                <w:rFonts w:ascii="Calibri" w:hAnsi="Calibri"/>
                <w:b/>
                <w:sz w:val="20"/>
              </w:rPr>
              <w:t>13</w:t>
            </w:r>
          </w:p>
        </w:tc>
        <w:tc>
          <w:tcPr>
            <w:tcW w:type="dxa" w:w="3120"/>
            <w:shd w:fill="FFFFFF"/>
            <w:tcMar>
              <w:top w:w="100" w:type="dxa"/>
              <w:bottom w:w="100" w:type="dxa"/>
              <w:left w:w="150" w:type="dxa"/>
              <w:right w:w="150" w:type="dxa"/>
            </w:tcMar>
          </w:tcPr>
          <w:p>
            <w:r>
              <w:rPr>
                <w:rFonts w:ascii="Calibri" w:hAnsi="Calibri"/>
                <w:sz w:val="20"/>
              </w:rPr>
              <w:t>Building reuse, construction waste management, environmental product declarations (EPDs), and sustainable material sourcing.</w:t>
            </w:r>
          </w:p>
        </w:tc>
      </w:tr>
      <w:tr>
        <w:tc>
          <w:tcPr>
            <w:tcW w:type="dxa" w:w="3120"/>
            <w:shd w:fill="F9F9F9"/>
            <w:tcMar>
              <w:top w:w="100" w:type="dxa"/>
              <w:bottom w:w="100" w:type="dxa"/>
              <w:left w:w="150" w:type="dxa"/>
              <w:right w:w="150" w:type="dxa"/>
            </w:tcMar>
          </w:tcPr>
          <w:p>
            <w:r>
              <w:rPr>
                <w:rFonts w:ascii="Calibri" w:hAnsi="Calibri"/>
                <w:b/>
                <w:sz w:val="20"/>
              </w:rPr>
              <w:t>Indoor Environmental Quality (EQ)</w:t>
            </w:r>
          </w:p>
        </w:tc>
        <w:tc>
          <w:tcPr>
            <w:tcW w:type="dxa" w:w="3120"/>
            <w:shd w:fill="F9F9F9"/>
            <w:tcMar>
              <w:top w:w="100" w:type="dxa"/>
              <w:bottom w:w="100" w:type="dxa"/>
              <w:left w:w="150" w:type="dxa"/>
              <w:right w:w="150" w:type="dxa"/>
            </w:tcMar>
          </w:tcPr>
          <w:p>
            <w:r>
              <w:rPr>
                <w:rFonts w:ascii="Calibri" w:hAnsi="Calibri"/>
                <w:b/>
                <w:sz w:val="20"/>
              </w:rPr>
              <w:t>16</w:t>
            </w:r>
          </w:p>
        </w:tc>
        <w:tc>
          <w:tcPr>
            <w:tcW w:type="dxa" w:w="3120"/>
            <w:shd w:fill="F9F9F9"/>
            <w:tcMar>
              <w:top w:w="100" w:type="dxa"/>
              <w:bottom w:w="100" w:type="dxa"/>
              <w:left w:w="150" w:type="dxa"/>
              <w:right w:w="150" w:type="dxa"/>
            </w:tcMar>
          </w:tcPr>
          <w:p>
            <w:r>
              <w:rPr>
                <w:rFonts w:ascii="Calibri" w:hAnsi="Calibri"/>
                <w:sz w:val="20"/>
              </w:rPr>
              <w:t>Minimum indoor air quality, low-emitting materials, daylighting, acoustic performance, thermal comfort, and occupant satisfaction.</w:t>
            </w:r>
          </w:p>
        </w:tc>
      </w:tr>
      <w:tr>
        <w:tc>
          <w:tcPr>
            <w:tcW w:type="dxa" w:w="3120"/>
            <w:shd w:fill="FFFFFF"/>
            <w:tcMar>
              <w:top w:w="100" w:type="dxa"/>
              <w:bottom w:w="100" w:type="dxa"/>
              <w:left w:w="150" w:type="dxa"/>
              <w:right w:w="150" w:type="dxa"/>
            </w:tcMar>
          </w:tcPr>
          <w:p>
            <w:r>
              <w:rPr>
                <w:rFonts w:ascii="Calibri" w:hAnsi="Calibri"/>
                <w:b/>
                <w:sz w:val="20"/>
              </w:rPr>
              <w:t>Innovation (IN) &amp; Regional Priority (RP)</w:t>
            </w:r>
          </w:p>
        </w:tc>
        <w:tc>
          <w:tcPr>
            <w:tcW w:type="dxa" w:w="3120"/>
            <w:shd w:fill="FFFFFF"/>
            <w:tcMar>
              <w:top w:w="100" w:type="dxa"/>
              <w:bottom w:w="100" w:type="dxa"/>
              <w:left w:w="150" w:type="dxa"/>
              <w:right w:w="150" w:type="dxa"/>
            </w:tcMar>
          </w:tcPr>
          <w:p>
            <w:r>
              <w:rPr>
                <w:rFonts w:ascii="Calibri" w:hAnsi="Calibri"/>
                <w:b/>
                <w:sz w:val="20"/>
              </w:rPr>
              <w:t>10</w:t>
            </w:r>
          </w:p>
        </w:tc>
        <w:tc>
          <w:tcPr>
            <w:tcW w:type="dxa" w:w="3120"/>
            <w:shd w:fill="FFFFFF"/>
            <w:tcMar>
              <w:top w:w="100" w:type="dxa"/>
              <w:bottom w:w="100" w:type="dxa"/>
              <w:left w:w="150" w:type="dxa"/>
              <w:right w:w="150" w:type="dxa"/>
            </w:tcMar>
          </w:tcPr>
          <w:p>
            <w:r>
              <w:rPr>
                <w:rFonts w:ascii="Calibri" w:hAnsi="Calibri"/>
                <w:sz w:val="20"/>
              </w:rPr>
              <w:t>Bonus category: 6 points for innovative strategies/exemplary performance and 4 points for addressing region-specific priorities.</w:t>
            </w:r>
          </w:p>
        </w:tc>
      </w:tr>
    </w:tbl>
    <w:p>
      <w:pPr>
        <w:spacing w:after="320"/>
      </w:pPr>
    </w:p>
    <w:p>
      <w:pPr>
        <w:pStyle w:val="Heading1"/>
      </w:pPr>
      <w:r>
        <w:rPr>
          <w:rFonts w:ascii="Calibri" w:hAnsi="Calibri"/>
          <w:b/>
          <w:color w:val="006666"/>
          <w:sz w:val="32"/>
        </w:rPr>
        <w:t>2. Top 10 Green Buildings in India &amp; Performance Analysis</w:t>
      </w:r>
    </w:p>
    <w:p>
      <w:pPr>
        <w:spacing w:after="240"/>
      </w:pPr>
      <w:r>
        <w:t>India has emerged as a global leader in sustainable real estate, ranking among the top countries worldwide for LEED-certified space. Below is a detailed evaluation of 10 iconic green buildings in India, including their LEED ratings, scores achieved, and specific characteristics that enabled their high performance.</w:t>
      </w:r>
    </w:p>
    <w:p>
      <w:pPr>
        <w:pStyle w:val="Heading2"/>
      </w:pPr>
      <w:r>
        <w:rPr>
          <w:rFonts w:ascii="Calibri" w:hAnsi="Calibri"/>
          <w:b/>
          <w:color w:val="006666"/>
          <w:sz w:val="24"/>
        </w:rPr>
        <w:t>2.1 CII-Sohrabji Godrej Green Business Centre (CII-GBC) (Hyderabad, Telangana)</w:t>
      </w:r>
    </w:p>
    <w:p>
      <w:pPr>
        <w:spacing w:after="120"/>
      </w:pPr>
      <w:r>
        <w:rPr>
          <w:b/>
        </w:rPr>
        <w:t xml:space="preserve">LEED Certification Level: </w:t>
      </w:r>
      <w:r>
        <w:t xml:space="preserve">LEED Platinum (Existing &amp; New Building)   |   </w:t>
      </w:r>
      <w:r>
        <w:rPr>
          <w:b/>
        </w:rPr>
        <w:t xml:space="preserve">Score Achieved: </w:t>
      </w:r>
      <w:r>
        <w:t>92 / 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Oriented to capture prevailing winds; 55% vegetated roof; zero site disturbance.</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100% wastewater treated onsite via root zone system; zero discharge facility; 50% water savings.</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55% overall energy savings; integrated rooftop 24kW solar PV array; double-glazed high-efficiency windows.</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80% recycled content used; earth blocks made from local mud; agricultural waste boards.</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90% daylighting across all workspace areas; indoor plants for VOC absorption; low-VOC paints.</w:t>
            </w:r>
          </w:p>
        </w:tc>
      </w:tr>
    </w:tbl>
    <w:p>
      <w:pPr>
        <w:spacing w:after="200"/>
      </w:pPr>
    </w:p>
    <w:p>
      <w:pPr>
        <w:pStyle w:val="Heading2"/>
      </w:pPr>
      <w:r>
        <w:rPr>
          <w:rFonts w:ascii="Calibri" w:hAnsi="Calibri"/>
          <w:b/>
          <w:color w:val="006666"/>
          <w:sz w:val="24"/>
        </w:rPr>
        <w:t>2.2 ITC Green Centre (Gurugram, Haryana)</w:t>
      </w:r>
    </w:p>
    <w:p>
      <w:pPr>
        <w:spacing w:after="120"/>
      </w:pPr>
      <w:r>
        <w:rPr>
          <w:b/>
        </w:rPr>
        <w:t xml:space="preserve">LEED Certification Level: </w:t>
      </w:r>
      <w:r>
        <w:t xml:space="preserve">LEED Platinum (Existing Buildings - O&amp;M)   |   </w:t>
      </w:r>
      <w:r>
        <w:rPr>
          <w:b/>
        </w:rPr>
        <w:t xml:space="preserve">Score Achieved: </w:t>
      </w:r>
      <w:r>
        <w:t>99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High-density urban location with preferred parking for eco-vehicles and electric charging stations.</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Zero wastewater discharge; greywater used for flushing and cooling towers; 53% potable water reduction.</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45% reduction in energy consumption; energy-efficient chiller system; smart occupancy sensors.</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Over 40% materials sourced within 800 km radius; comprehensive solid waste segregation and composting.</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CO2 sensors monitoring fresh air supply; high-MERV air filtration; optimized thermal comfort.</w:t>
            </w:r>
          </w:p>
        </w:tc>
      </w:tr>
    </w:tbl>
    <w:p>
      <w:pPr>
        <w:spacing w:after="200"/>
      </w:pPr>
    </w:p>
    <w:p>
      <w:pPr>
        <w:pStyle w:val="Heading2"/>
      </w:pPr>
      <w:r>
        <w:rPr>
          <w:rFonts w:ascii="Calibri" w:hAnsi="Calibri"/>
          <w:b/>
          <w:color w:val="006666"/>
          <w:sz w:val="24"/>
        </w:rPr>
        <w:t>2.3 Suzlon One Earth (Pune, Maharashtra)</w:t>
      </w:r>
    </w:p>
    <w:p>
      <w:pPr>
        <w:spacing w:after="120"/>
      </w:pPr>
      <w:r>
        <w:rPr>
          <w:b/>
        </w:rPr>
        <w:t xml:space="preserve">LEED Certification Level: </w:t>
      </w:r>
      <w:r>
        <w:t xml:space="preserve">LEED Platinum   |   </w:t>
      </w:r>
      <w:r>
        <w:rPr>
          <w:b/>
        </w:rPr>
        <w:t xml:space="preserve">Score Achieved: </w:t>
      </w:r>
      <w:r>
        <w:t>96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Low-impact design with over 50% open green space and native drought-resistant landscaping.</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100% rainwater harvesting and onsite sewage treatment plant (STP); 50% indoor water reduction.</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100% powered by renewable energy (on-site solar and off-site wind farms); LED lights with daylight sensors.</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Extensive use of recycled glass, fly-ash bricks, and certified sustainable timber.</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Task lighting for 90% occupants; glass facade maximizing natural daylight while controlling glare.</w:t>
            </w:r>
          </w:p>
        </w:tc>
      </w:tr>
    </w:tbl>
    <w:p>
      <w:pPr>
        <w:spacing w:after="200"/>
      </w:pPr>
    </w:p>
    <w:p>
      <w:pPr>
        <w:pStyle w:val="Heading2"/>
      </w:pPr>
      <w:r>
        <w:rPr>
          <w:rFonts w:ascii="Calibri" w:hAnsi="Calibri"/>
          <w:b/>
          <w:color w:val="006666"/>
          <w:sz w:val="24"/>
        </w:rPr>
        <w:t>2.4 Infosys Campus, Electronic City (Building 11) (Bengaluru, Karnataka)</w:t>
      </w:r>
    </w:p>
    <w:p>
      <w:pPr>
        <w:spacing w:after="120"/>
      </w:pPr>
      <w:r>
        <w:rPr>
          <w:b/>
        </w:rPr>
        <w:t xml:space="preserve">LEED Certification Level: </w:t>
      </w:r>
      <w:r>
        <w:t xml:space="preserve">LEED Platinum   |   </w:t>
      </w:r>
      <w:r>
        <w:rPr>
          <w:b/>
        </w:rPr>
        <w:t xml:space="preserve">Score Achieved: </w:t>
      </w:r>
      <w:r>
        <w:t>94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Integrated shuttle system for employee transit; high-albedo roof reflective coating to eliminate heat island effect.</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Smart water meters track consumption in real-time; dual-flush fixtures reducing water use by 52%.</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EPI (Energy Performance Index) 50% lower than national baseline; radiant cooling system installed.</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100% construction waste diverted from landfills; local sourcing of stones and timber.</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100% fresh air flush-outs; low-emitting adhesives, sealants, and carpet systems.</w:t>
            </w:r>
          </w:p>
        </w:tc>
      </w:tr>
    </w:tbl>
    <w:p>
      <w:pPr>
        <w:spacing w:after="200"/>
      </w:pPr>
    </w:p>
    <w:p>
      <w:pPr>
        <w:pStyle w:val="Heading2"/>
      </w:pPr>
      <w:r>
        <w:rPr>
          <w:rFonts w:ascii="Calibri" w:hAnsi="Calibri"/>
          <w:b/>
          <w:color w:val="006666"/>
          <w:sz w:val="24"/>
        </w:rPr>
        <w:t>2.5 Godrej Bhavan (Mumbai, Maharashtra)</w:t>
      </w:r>
    </w:p>
    <w:p>
      <w:pPr>
        <w:spacing w:after="120"/>
      </w:pPr>
      <w:r>
        <w:rPr>
          <w:b/>
        </w:rPr>
        <w:t xml:space="preserve">LEED Certification Level: </w:t>
      </w:r>
      <w:r>
        <w:t xml:space="preserve">LEED Platinum (EBOM)   |   </w:t>
      </w:r>
      <w:r>
        <w:rPr>
          <w:b/>
        </w:rPr>
        <w:t xml:space="preserve">Score Achieved: </w:t>
      </w:r>
      <w:r>
        <w:t>88 / 100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Retrofitted historical structure in dense urban area with easy access to public suburban rail networks.</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Waterless urinals and low-flow aerators resulting in 40% potable water savings.</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Energy efficiency retrofits cut consumption by 35%; retro-commissioned HVAC equipment and variable speed drives.</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Strict sustainable purchasing policy for office supplies; organic waste converter on-site.</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Indoor air quality testing conducted bi-annually; optimized lighting levels to eliminate eye strain.</w:t>
            </w:r>
          </w:p>
        </w:tc>
      </w:tr>
    </w:tbl>
    <w:p>
      <w:pPr>
        <w:spacing w:after="200"/>
      </w:pPr>
    </w:p>
    <w:p>
      <w:pPr>
        <w:pStyle w:val="Heading2"/>
      </w:pPr>
      <w:r>
        <w:rPr>
          <w:rFonts w:ascii="Calibri" w:hAnsi="Calibri"/>
          <w:b/>
          <w:color w:val="006666"/>
          <w:sz w:val="24"/>
        </w:rPr>
        <w:t>2.6 DLF Cybercity / Building 10 (Gurugram, Haryana)</w:t>
      </w:r>
    </w:p>
    <w:p>
      <w:pPr>
        <w:spacing w:after="120"/>
      </w:pPr>
      <w:r>
        <w:rPr>
          <w:b/>
        </w:rPr>
        <w:t xml:space="preserve">LEED Certification Level: </w:t>
      </w:r>
      <w:r>
        <w:t xml:space="preserve">LEED Platinum   |   </w:t>
      </w:r>
      <w:r>
        <w:rPr>
          <w:b/>
        </w:rPr>
        <w:t xml:space="preserve">Score Achieved: </w:t>
      </w:r>
      <w:r>
        <w:t>89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Direct connection to Rapid Metro; multi-tier green parking deck with EV infrastructure.</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STP treated water re-used for cooling towers and landscape irrigation; rainwater percolation wells.</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Tri-generation power system providing combined heat, cooling, and power; high-efficiency chillers.</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Post-consumer recycled steel and concrete with high fly-ash content.</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High-efficiency particulate air (HEPA) filtration systems tackling urban particulate matter (PM2.5).</w:t>
            </w:r>
          </w:p>
        </w:tc>
      </w:tr>
    </w:tbl>
    <w:p>
      <w:pPr>
        <w:spacing w:after="200"/>
      </w:pPr>
    </w:p>
    <w:p>
      <w:pPr>
        <w:pStyle w:val="Heading2"/>
      </w:pPr>
      <w:r>
        <w:rPr>
          <w:rFonts w:ascii="Calibri" w:hAnsi="Calibri"/>
          <w:b/>
          <w:color w:val="006666"/>
          <w:sz w:val="24"/>
        </w:rPr>
        <w:t>2.7 Olympia Tech Park (Chennai, Tamil Nadu)</w:t>
      </w:r>
    </w:p>
    <w:p>
      <w:pPr>
        <w:spacing w:after="120"/>
      </w:pPr>
      <w:r>
        <w:rPr>
          <w:b/>
        </w:rPr>
        <w:t xml:space="preserve">LEED Certification Level: </w:t>
      </w:r>
      <w:r>
        <w:t xml:space="preserve">LEED Gold / Platinum   |   </w:t>
      </w:r>
      <w:r>
        <w:rPr>
          <w:b/>
        </w:rPr>
        <w:t xml:space="preserve">Score Achieved: </w:t>
      </w:r>
      <w:r>
        <w:t>85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Located near major transportation hubs; reflective roof paving materials.</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Zero water discharge system; greywater treatment used entirely in dual-plumbing systems.</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32% energy savings compared to standard commercial benchmark; high glass-to-wall performance ratio.</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Low-VOC materials used in all interior spaces; regional building material selection.</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Continuous monitoring of indoor air quality parameters and fresh air infusion.</w:t>
            </w:r>
          </w:p>
        </w:tc>
      </w:tr>
    </w:tbl>
    <w:p>
      <w:pPr>
        <w:spacing w:after="200"/>
      </w:pPr>
    </w:p>
    <w:p>
      <w:pPr>
        <w:pStyle w:val="Heading2"/>
      </w:pPr>
      <w:r>
        <w:rPr>
          <w:rFonts w:ascii="Calibri" w:hAnsi="Calibri"/>
          <w:b/>
          <w:color w:val="006666"/>
          <w:sz w:val="24"/>
        </w:rPr>
        <w:t>2.8 Indira Paryavaran Bhawan (New Delhi)</w:t>
      </w:r>
    </w:p>
    <w:p>
      <w:pPr>
        <w:spacing w:after="120"/>
      </w:pPr>
      <w:r>
        <w:rPr>
          <w:b/>
        </w:rPr>
        <w:t xml:space="preserve">LEED Certification Level: </w:t>
      </w:r>
      <w:r>
        <w:t xml:space="preserve">LEED Platinum (and GRIHA 5-Star)   |   </w:t>
      </w:r>
      <w:r>
        <w:rPr>
          <w:b/>
        </w:rPr>
        <w:t xml:space="preserve">Score Achieved: </w:t>
      </w:r>
      <w:r>
        <w:t>101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Government office building designed with net-zero energy and zero water discharge concepts; 50% area preserved as open spaces.</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100% treatment and reuse of wastewater; low-flow fixture savings exceed 50%.</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India's first net-zero energy building; 930 kW rooftop solar PV installation generating total energy requirement.</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AAC blocks, fly-ash concrete, stone masonry, and high-recycled-content interior finishes.</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Geothermal heat heat exchange cooling assistance; UPVC double-glazed windows; maximum daylight penetration.</w:t>
            </w:r>
          </w:p>
        </w:tc>
      </w:tr>
    </w:tbl>
    <w:p>
      <w:pPr>
        <w:spacing w:after="200"/>
      </w:pPr>
    </w:p>
    <w:p>
      <w:pPr>
        <w:pStyle w:val="Heading2"/>
      </w:pPr>
      <w:r>
        <w:rPr>
          <w:rFonts w:ascii="Calibri" w:hAnsi="Calibri"/>
          <w:b/>
          <w:color w:val="006666"/>
          <w:sz w:val="24"/>
        </w:rPr>
        <w:t>2.9 RMZ Ecoworld (Bengaluru, Karnataka)</w:t>
      </w:r>
    </w:p>
    <w:p>
      <w:pPr>
        <w:spacing w:after="120"/>
      </w:pPr>
      <w:r>
        <w:rPr>
          <w:b/>
        </w:rPr>
        <w:t xml:space="preserve">LEED Certification Level: </w:t>
      </w:r>
      <w:r>
        <w:t xml:space="preserve">LEED Platinum   |   </w:t>
      </w:r>
      <w:r>
        <w:rPr>
          <w:b/>
        </w:rPr>
        <w:t xml:space="preserve">Score Achieved: </w:t>
      </w:r>
      <w:r>
        <w:t>87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Transit-oriented IT park featuring extensive pedestrian walkways and green plazas.</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Rainwater storage tanks capacity exceeding 1 million liters; drip irrigation for landscaping.</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Smart building management system (BMS); variable refrigerant flow (VRF) AC units; energy reduction &gt; 30%.</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75% construction waste diverted from landfills; sustainable wood products certified by FSC.</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Acoustic insulation panels; ergonomically optimized workspace environments with high daylighting.</w:t>
            </w:r>
          </w:p>
        </w:tc>
      </w:tr>
    </w:tbl>
    <w:p>
      <w:pPr>
        <w:spacing w:after="200"/>
      </w:pPr>
    </w:p>
    <w:p>
      <w:pPr>
        <w:pStyle w:val="Heading2"/>
      </w:pPr>
      <w:r>
        <w:rPr>
          <w:rFonts w:ascii="Calibri" w:hAnsi="Calibri"/>
          <w:b/>
          <w:color w:val="006666"/>
          <w:sz w:val="24"/>
        </w:rPr>
        <w:t>2.10 Cyberes Park (TCS Campus) (Kochi, Kerala)</w:t>
      </w:r>
    </w:p>
    <w:p>
      <w:pPr>
        <w:spacing w:after="120"/>
      </w:pPr>
      <w:r>
        <w:rPr>
          <w:b/>
        </w:rPr>
        <w:t xml:space="preserve">LEED Certification Level: </w:t>
      </w:r>
      <w:r>
        <w:t xml:space="preserve">LEED Platinum   |   </w:t>
      </w:r>
      <w:r>
        <w:rPr>
          <w:b/>
        </w:rPr>
        <w:t xml:space="preserve">Score Achieved: </w:t>
      </w:r>
      <w:r>
        <w:t>91 / 110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006666"/>
            <w:tcMar>
              <w:top w:w="100" w:type="dxa"/>
              <w:bottom w:w="100" w:type="dxa"/>
              <w:left w:w="120" w:type="dxa"/>
              <w:right w:w="120" w:type="dxa"/>
            </w:tcMar>
          </w:tcPr>
          <w:p>
            <w:r>
              <w:rPr>
                <w:b/>
                <w:color w:val="FFFFFF"/>
                <w:sz w:val="19"/>
              </w:rPr>
              <w:t>LEED Characteristic / Category</w:t>
            </w:r>
          </w:p>
        </w:tc>
        <w:tc>
          <w:tcPr>
            <w:tcW w:type="dxa" w:w="4680"/>
            <w:shd w:fill="006666"/>
            <w:tcMar>
              <w:top w:w="100" w:type="dxa"/>
              <w:bottom w:w="100" w:type="dxa"/>
              <w:left w:w="120" w:type="dxa"/>
              <w:right w:w="120" w:type="dxa"/>
            </w:tcMar>
          </w:tcPr>
          <w:p>
            <w:r>
              <w:rPr>
                <w:b/>
                <w:color w:val="FFFFFF"/>
                <w:sz w:val="19"/>
              </w:rPr>
              <w:t>Key Implemented Features &amp; Performance Allocation</w:t>
            </w:r>
          </w:p>
        </w:tc>
      </w:tr>
      <w:tr>
        <w:tc>
          <w:tcPr>
            <w:tcW w:type="dxa" w:w="4680"/>
            <w:shd w:fill="F9F9F9"/>
            <w:tcMar>
              <w:top w:w="80" w:type="dxa"/>
              <w:bottom w:w="80" w:type="dxa"/>
              <w:left w:w="120" w:type="dxa"/>
              <w:right w:w="120" w:type="dxa"/>
            </w:tcMar>
          </w:tcPr>
          <w:p>
            <w:r>
              <w:rPr>
                <w:rFonts w:ascii="Calibri" w:hAnsi="Calibri"/>
                <w:b/>
                <w:sz w:val="19"/>
              </w:rPr>
              <w:t>Location &amp; Transportation / Site</w:t>
            </w:r>
          </w:p>
        </w:tc>
        <w:tc>
          <w:tcPr>
            <w:tcW w:type="dxa" w:w="4680"/>
            <w:shd w:fill="F9F9F9"/>
            <w:tcMar>
              <w:top w:w="80" w:type="dxa"/>
              <w:bottom w:w="80" w:type="dxa"/>
              <w:left w:w="120" w:type="dxa"/>
              <w:right w:w="120" w:type="dxa"/>
            </w:tcMar>
          </w:tcPr>
          <w:p>
            <w:r>
              <w:rPr>
                <w:rFonts w:ascii="Calibri" w:hAnsi="Calibri"/>
                <w:sz w:val="19"/>
              </w:rPr>
              <w:t>Site design preserves local water channels and existing tropical vegetative cover.</w:t>
            </w:r>
          </w:p>
        </w:tc>
      </w:tr>
      <w:tr>
        <w:tc>
          <w:tcPr>
            <w:tcW w:type="dxa" w:w="4680"/>
            <w:shd w:fill="FFFFFF"/>
            <w:tcMar>
              <w:top w:w="80" w:type="dxa"/>
              <w:bottom w:w="80" w:type="dxa"/>
              <w:left w:w="120" w:type="dxa"/>
              <w:right w:w="120" w:type="dxa"/>
            </w:tcMar>
          </w:tcPr>
          <w:p>
            <w:r>
              <w:rPr>
                <w:rFonts w:ascii="Calibri" w:hAnsi="Calibri"/>
                <w:b/>
                <w:sz w:val="19"/>
              </w:rPr>
              <w:t>Water Efficiency</w:t>
            </w:r>
          </w:p>
        </w:tc>
        <w:tc>
          <w:tcPr>
            <w:tcW w:type="dxa" w:w="4680"/>
            <w:shd w:fill="FFFFFF"/>
            <w:tcMar>
              <w:top w:w="80" w:type="dxa"/>
              <w:bottom w:w="80" w:type="dxa"/>
              <w:left w:w="120" w:type="dxa"/>
              <w:right w:w="120" w:type="dxa"/>
            </w:tcMar>
          </w:tcPr>
          <w:p>
            <w:r>
              <w:rPr>
                <w:rFonts w:ascii="Calibri" w:hAnsi="Calibri"/>
                <w:sz w:val="19"/>
              </w:rPr>
              <w:t>Bio-membrane wastewater treatment plant; 60% overall reduction in municipal water demand.</w:t>
            </w:r>
          </w:p>
        </w:tc>
      </w:tr>
      <w:tr>
        <w:tc>
          <w:tcPr>
            <w:tcW w:type="dxa" w:w="4680"/>
            <w:shd w:fill="F9F9F9"/>
            <w:tcMar>
              <w:top w:w="80" w:type="dxa"/>
              <w:bottom w:w="80" w:type="dxa"/>
              <w:left w:w="120" w:type="dxa"/>
              <w:right w:w="120" w:type="dxa"/>
            </w:tcMar>
          </w:tcPr>
          <w:p>
            <w:r>
              <w:rPr>
                <w:rFonts w:ascii="Calibri" w:hAnsi="Calibri"/>
                <w:b/>
                <w:sz w:val="19"/>
              </w:rPr>
              <w:t>Energy &amp; Atmosphere</w:t>
            </w:r>
          </w:p>
        </w:tc>
        <w:tc>
          <w:tcPr>
            <w:tcW w:type="dxa" w:w="4680"/>
            <w:shd w:fill="F9F9F9"/>
            <w:tcMar>
              <w:top w:w="80" w:type="dxa"/>
              <w:bottom w:w="80" w:type="dxa"/>
              <w:left w:w="120" w:type="dxa"/>
              <w:right w:w="120" w:type="dxa"/>
            </w:tcMar>
          </w:tcPr>
          <w:p>
            <w:r>
              <w:rPr>
                <w:rFonts w:ascii="Calibri" w:hAnsi="Calibri"/>
                <w:sz w:val="19"/>
              </w:rPr>
              <w:t>Solar thermal water heating and PV grid tie-in; magnetic levitation chiller technology.</w:t>
            </w:r>
          </w:p>
        </w:tc>
      </w:tr>
      <w:tr>
        <w:tc>
          <w:tcPr>
            <w:tcW w:type="dxa" w:w="4680"/>
            <w:shd w:fill="FFFFFF"/>
            <w:tcMar>
              <w:top w:w="80" w:type="dxa"/>
              <w:bottom w:w="80" w:type="dxa"/>
              <w:left w:w="120" w:type="dxa"/>
              <w:right w:w="120" w:type="dxa"/>
            </w:tcMar>
          </w:tcPr>
          <w:p>
            <w:r>
              <w:rPr>
                <w:rFonts w:ascii="Calibri" w:hAnsi="Calibri"/>
                <w:b/>
                <w:sz w:val="19"/>
              </w:rPr>
              <w:t>Materials &amp; Resources</w:t>
            </w:r>
          </w:p>
        </w:tc>
        <w:tc>
          <w:tcPr>
            <w:tcW w:type="dxa" w:w="4680"/>
            <w:shd w:fill="FFFFFF"/>
            <w:tcMar>
              <w:top w:w="80" w:type="dxa"/>
              <w:bottom w:w="80" w:type="dxa"/>
              <w:left w:w="120" w:type="dxa"/>
              <w:right w:w="120" w:type="dxa"/>
            </w:tcMar>
          </w:tcPr>
          <w:p>
            <w:r>
              <w:rPr>
                <w:rFonts w:ascii="Calibri" w:hAnsi="Calibri"/>
                <w:sz w:val="19"/>
              </w:rPr>
              <w:t>Locally available laterite stone and bamboo mat boards utilized extensively in construction.</w:t>
            </w:r>
          </w:p>
        </w:tc>
      </w:tr>
      <w:tr>
        <w:tc>
          <w:tcPr>
            <w:tcW w:type="dxa" w:w="4680"/>
            <w:shd w:fill="F9F9F9"/>
            <w:tcMar>
              <w:top w:w="80" w:type="dxa"/>
              <w:bottom w:w="80" w:type="dxa"/>
              <w:left w:w="120" w:type="dxa"/>
              <w:right w:w="120" w:type="dxa"/>
            </w:tcMar>
          </w:tcPr>
          <w:p>
            <w:r>
              <w:rPr>
                <w:rFonts w:ascii="Calibri" w:hAnsi="Calibri"/>
                <w:b/>
                <w:sz w:val="19"/>
              </w:rPr>
              <w:t>Indoor Environmental Quality</w:t>
            </w:r>
          </w:p>
        </w:tc>
        <w:tc>
          <w:tcPr>
            <w:tcW w:type="dxa" w:w="4680"/>
            <w:shd w:fill="F9F9F9"/>
            <w:tcMar>
              <w:top w:w="80" w:type="dxa"/>
              <w:bottom w:w="80" w:type="dxa"/>
              <w:left w:w="120" w:type="dxa"/>
              <w:right w:w="120" w:type="dxa"/>
            </w:tcMar>
          </w:tcPr>
          <w:p>
            <w:r>
              <w:rPr>
                <w:rFonts w:ascii="Calibri" w:hAnsi="Calibri"/>
                <w:sz w:val="19"/>
              </w:rPr>
              <w:t>Natural ventilation corridors integrated with mechanical cooling; low-emission finishes throughout.</w:t>
            </w:r>
          </w:p>
        </w:tc>
      </w:tr>
    </w:tbl>
    <w:p>
      <w:pPr>
        <w:spacing w:after="200"/>
      </w:pPr>
    </w:p>
    <w:p>
      <w:pPr>
        <w:pStyle w:val="Heading1"/>
      </w:pPr>
      <w:r>
        <w:rPr>
          <w:rFonts w:ascii="Calibri" w:hAnsi="Calibri"/>
          <w:b/>
          <w:color w:val="006666"/>
          <w:sz w:val="32"/>
        </w:rPr>
        <w:t>3. Summary Matrix of Top 10 Indian Green Buildings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006666"/>
            <w:tcMar>
              <w:top w:w="100" w:type="dxa"/>
              <w:bottom w:w="100" w:type="dxa"/>
              <w:left w:w="120" w:type="dxa"/>
              <w:right w:w="120" w:type="dxa"/>
            </w:tcMar>
          </w:tcPr>
          <w:p>
            <w:r>
              <w:rPr>
                <w:rFonts w:ascii="Calibri" w:hAnsi="Calibri"/>
                <w:b/>
                <w:color w:val="FFFFFF"/>
                <w:sz w:val="19"/>
              </w:rPr>
              <w:t>Building Name</w:t>
            </w:r>
          </w:p>
        </w:tc>
        <w:tc>
          <w:tcPr>
            <w:tcW w:type="dxa" w:w="2340"/>
            <w:shd w:fill="006666"/>
            <w:tcMar>
              <w:top w:w="100" w:type="dxa"/>
              <w:bottom w:w="100" w:type="dxa"/>
              <w:left w:w="120" w:type="dxa"/>
              <w:right w:w="120" w:type="dxa"/>
            </w:tcMar>
          </w:tcPr>
          <w:p>
            <w:r>
              <w:rPr>
                <w:rFonts w:ascii="Calibri" w:hAnsi="Calibri"/>
                <w:b/>
                <w:color w:val="FFFFFF"/>
                <w:sz w:val="19"/>
              </w:rPr>
              <w:t>Location</w:t>
            </w:r>
          </w:p>
        </w:tc>
        <w:tc>
          <w:tcPr>
            <w:tcW w:type="dxa" w:w="2340"/>
            <w:shd w:fill="006666"/>
            <w:tcMar>
              <w:top w:w="100" w:type="dxa"/>
              <w:bottom w:w="100" w:type="dxa"/>
              <w:left w:w="120" w:type="dxa"/>
              <w:right w:w="120" w:type="dxa"/>
            </w:tcMar>
          </w:tcPr>
          <w:p>
            <w:r>
              <w:rPr>
                <w:rFonts w:ascii="Calibri" w:hAnsi="Calibri"/>
                <w:b/>
                <w:color w:val="FFFFFF"/>
                <w:sz w:val="19"/>
              </w:rPr>
              <w:t>LEED Level</w:t>
            </w:r>
          </w:p>
        </w:tc>
        <w:tc>
          <w:tcPr>
            <w:tcW w:type="dxa" w:w="2340"/>
            <w:shd w:fill="006666"/>
            <w:tcMar>
              <w:top w:w="100" w:type="dxa"/>
              <w:bottom w:w="100" w:type="dxa"/>
              <w:left w:w="120" w:type="dxa"/>
              <w:right w:w="120" w:type="dxa"/>
            </w:tcMar>
          </w:tcPr>
          <w:p>
            <w:r>
              <w:rPr>
                <w:rFonts w:ascii="Calibri" w:hAnsi="Calibri"/>
                <w:b/>
                <w:color w:val="FFFFFF"/>
                <w:sz w:val="19"/>
              </w:rPr>
              <w:t>Score</w:t>
            </w:r>
          </w:p>
        </w:tc>
      </w:tr>
      <w:tr>
        <w:tc>
          <w:tcPr>
            <w:tcW w:type="dxa" w:w="2340"/>
            <w:shd w:fill="F9F9F9"/>
            <w:tcMar>
              <w:top w:w="80" w:type="dxa"/>
              <w:bottom w:w="80" w:type="dxa"/>
              <w:left w:w="120" w:type="dxa"/>
              <w:right w:w="120" w:type="dxa"/>
            </w:tcMar>
          </w:tcPr>
          <w:p>
            <w:r>
              <w:rPr>
                <w:rFonts w:ascii="Calibri" w:hAnsi="Calibri"/>
                <w:b/>
                <w:sz w:val="19"/>
              </w:rPr>
              <w:t>CII-Sohrabji Godrej GBC</w:t>
            </w:r>
          </w:p>
        </w:tc>
        <w:tc>
          <w:tcPr>
            <w:tcW w:type="dxa" w:w="2340"/>
            <w:shd w:fill="F9F9F9"/>
            <w:tcMar>
              <w:top w:w="80" w:type="dxa"/>
              <w:bottom w:w="80" w:type="dxa"/>
              <w:left w:w="120" w:type="dxa"/>
              <w:right w:w="120" w:type="dxa"/>
            </w:tcMar>
          </w:tcPr>
          <w:p>
            <w:r>
              <w:rPr>
                <w:rFonts w:ascii="Calibri" w:hAnsi="Calibri"/>
                <w:sz w:val="19"/>
              </w:rPr>
              <w:t>Hyderabad</w:t>
            </w:r>
          </w:p>
        </w:tc>
        <w:tc>
          <w:tcPr>
            <w:tcW w:type="dxa" w:w="2340"/>
            <w:shd w:fill="F9F9F9"/>
            <w:tcMar>
              <w:top w:w="80" w:type="dxa"/>
              <w:bottom w:w="80" w:type="dxa"/>
              <w:left w:w="120" w:type="dxa"/>
              <w:right w:w="120" w:type="dxa"/>
            </w:tcMar>
          </w:tcPr>
          <w:p>
            <w:r>
              <w:rPr>
                <w:rFonts w:ascii="Calibri" w:hAnsi="Calibri"/>
                <w:sz w:val="19"/>
              </w:rPr>
              <w:t>Platinum</w:t>
            </w:r>
          </w:p>
        </w:tc>
        <w:tc>
          <w:tcPr>
            <w:tcW w:type="dxa" w:w="2340"/>
            <w:shd w:fill="F9F9F9"/>
            <w:tcMar>
              <w:top w:w="80" w:type="dxa"/>
              <w:bottom w:w="80" w:type="dxa"/>
              <w:left w:w="120" w:type="dxa"/>
              <w:right w:w="120" w:type="dxa"/>
            </w:tcMar>
          </w:tcPr>
          <w:p>
            <w:r>
              <w:rPr>
                <w:rFonts w:ascii="Calibri" w:hAnsi="Calibri"/>
                <w:sz w:val="19"/>
              </w:rPr>
              <w:t>92/100</w:t>
            </w:r>
          </w:p>
        </w:tc>
      </w:tr>
      <w:tr>
        <w:tc>
          <w:tcPr>
            <w:tcW w:type="dxa" w:w="2340"/>
            <w:shd w:fill="FFFFFF"/>
            <w:tcMar>
              <w:top w:w="80" w:type="dxa"/>
              <w:bottom w:w="80" w:type="dxa"/>
              <w:left w:w="120" w:type="dxa"/>
              <w:right w:w="120" w:type="dxa"/>
            </w:tcMar>
          </w:tcPr>
          <w:p>
            <w:r>
              <w:rPr>
                <w:rFonts w:ascii="Calibri" w:hAnsi="Calibri"/>
                <w:b/>
                <w:sz w:val="19"/>
              </w:rPr>
              <w:t>ITC Green Centre</w:t>
            </w:r>
          </w:p>
        </w:tc>
        <w:tc>
          <w:tcPr>
            <w:tcW w:type="dxa" w:w="2340"/>
            <w:shd w:fill="FFFFFF"/>
            <w:tcMar>
              <w:top w:w="80" w:type="dxa"/>
              <w:bottom w:w="80" w:type="dxa"/>
              <w:left w:w="120" w:type="dxa"/>
              <w:right w:w="120" w:type="dxa"/>
            </w:tcMar>
          </w:tcPr>
          <w:p>
            <w:r>
              <w:rPr>
                <w:rFonts w:ascii="Calibri" w:hAnsi="Calibri"/>
                <w:sz w:val="19"/>
              </w:rPr>
              <w:t>Gurugram</w:t>
            </w:r>
          </w:p>
        </w:tc>
        <w:tc>
          <w:tcPr>
            <w:tcW w:type="dxa" w:w="2340"/>
            <w:shd w:fill="FFFFFF"/>
            <w:tcMar>
              <w:top w:w="80" w:type="dxa"/>
              <w:bottom w:w="80" w:type="dxa"/>
              <w:left w:w="120" w:type="dxa"/>
              <w:right w:w="120" w:type="dxa"/>
            </w:tcMar>
          </w:tcPr>
          <w:p>
            <w:r>
              <w:rPr>
                <w:rFonts w:ascii="Calibri" w:hAnsi="Calibri"/>
                <w:sz w:val="19"/>
              </w:rPr>
              <w:t>Platinum</w:t>
            </w:r>
          </w:p>
        </w:tc>
        <w:tc>
          <w:tcPr>
            <w:tcW w:type="dxa" w:w="2340"/>
            <w:shd w:fill="FFFFFF"/>
            <w:tcMar>
              <w:top w:w="80" w:type="dxa"/>
              <w:bottom w:w="80" w:type="dxa"/>
              <w:left w:w="120" w:type="dxa"/>
              <w:right w:w="120" w:type="dxa"/>
            </w:tcMar>
          </w:tcPr>
          <w:p>
            <w:r>
              <w:rPr>
                <w:rFonts w:ascii="Calibri" w:hAnsi="Calibri"/>
                <w:sz w:val="19"/>
              </w:rPr>
              <w:t>99/110</w:t>
            </w:r>
          </w:p>
        </w:tc>
      </w:tr>
      <w:tr>
        <w:tc>
          <w:tcPr>
            <w:tcW w:type="dxa" w:w="2340"/>
            <w:shd w:fill="F9F9F9"/>
            <w:tcMar>
              <w:top w:w="80" w:type="dxa"/>
              <w:bottom w:w="80" w:type="dxa"/>
              <w:left w:w="120" w:type="dxa"/>
              <w:right w:w="120" w:type="dxa"/>
            </w:tcMar>
          </w:tcPr>
          <w:p>
            <w:r>
              <w:rPr>
                <w:rFonts w:ascii="Calibri" w:hAnsi="Calibri"/>
                <w:b/>
                <w:sz w:val="19"/>
              </w:rPr>
              <w:t>Suzlon One Earth</w:t>
            </w:r>
          </w:p>
        </w:tc>
        <w:tc>
          <w:tcPr>
            <w:tcW w:type="dxa" w:w="2340"/>
            <w:shd w:fill="F9F9F9"/>
            <w:tcMar>
              <w:top w:w="80" w:type="dxa"/>
              <w:bottom w:w="80" w:type="dxa"/>
              <w:left w:w="120" w:type="dxa"/>
              <w:right w:w="120" w:type="dxa"/>
            </w:tcMar>
          </w:tcPr>
          <w:p>
            <w:r>
              <w:rPr>
                <w:rFonts w:ascii="Calibri" w:hAnsi="Calibri"/>
                <w:sz w:val="19"/>
              </w:rPr>
              <w:t>Pune</w:t>
            </w:r>
          </w:p>
        </w:tc>
        <w:tc>
          <w:tcPr>
            <w:tcW w:type="dxa" w:w="2340"/>
            <w:shd w:fill="F9F9F9"/>
            <w:tcMar>
              <w:top w:w="80" w:type="dxa"/>
              <w:bottom w:w="80" w:type="dxa"/>
              <w:left w:w="120" w:type="dxa"/>
              <w:right w:w="120" w:type="dxa"/>
            </w:tcMar>
          </w:tcPr>
          <w:p>
            <w:r>
              <w:rPr>
                <w:rFonts w:ascii="Calibri" w:hAnsi="Calibri"/>
                <w:sz w:val="19"/>
              </w:rPr>
              <w:t>Platinum</w:t>
            </w:r>
          </w:p>
        </w:tc>
        <w:tc>
          <w:tcPr>
            <w:tcW w:type="dxa" w:w="2340"/>
            <w:shd w:fill="F9F9F9"/>
            <w:tcMar>
              <w:top w:w="80" w:type="dxa"/>
              <w:bottom w:w="80" w:type="dxa"/>
              <w:left w:w="120" w:type="dxa"/>
              <w:right w:w="120" w:type="dxa"/>
            </w:tcMar>
          </w:tcPr>
          <w:p>
            <w:r>
              <w:rPr>
                <w:rFonts w:ascii="Calibri" w:hAnsi="Calibri"/>
                <w:sz w:val="19"/>
              </w:rPr>
              <w:t>96/110</w:t>
            </w:r>
          </w:p>
        </w:tc>
      </w:tr>
      <w:tr>
        <w:tc>
          <w:tcPr>
            <w:tcW w:type="dxa" w:w="2340"/>
            <w:shd w:fill="FFFFFF"/>
            <w:tcMar>
              <w:top w:w="80" w:type="dxa"/>
              <w:bottom w:w="80" w:type="dxa"/>
              <w:left w:w="120" w:type="dxa"/>
              <w:right w:w="120" w:type="dxa"/>
            </w:tcMar>
          </w:tcPr>
          <w:p>
            <w:r>
              <w:rPr>
                <w:rFonts w:ascii="Calibri" w:hAnsi="Calibri"/>
                <w:b/>
                <w:sz w:val="19"/>
              </w:rPr>
              <w:t>Infosys Campus (Bldg 11)</w:t>
            </w:r>
          </w:p>
        </w:tc>
        <w:tc>
          <w:tcPr>
            <w:tcW w:type="dxa" w:w="2340"/>
            <w:shd w:fill="FFFFFF"/>
            <w:tcMar>
              <w:top w:w="80" w:type="dxa"/>
              <w:bottom w:w="80" w:type="dxa"/>
              <w:left w:w="120" w:type="dxa"/>
              <w:right w:w="120" w:type="dxa"/>
            </w:tcMar>
          </w:tcPr>
          <w:p>
            <w:r>
              <w:rPr>
                <w:rFonts w:ascii="Calibri" w:hAnsi="Calibri"/>
                <w:sz w:val="19"/>
              </w:rPr>
              <w:t>Bengaluru</w:t>
            </w:r>
          </w:p>
        </w:tc>
        <w:tc>
          <w:tcPr>
            <w:tcW w:type="dxa" w:w="2340"/>
            <w:shd w:fill="FFFFFF"/>
            <w:tcMar>
              <w:top w:w="80" w:type="dxa"/>
              <w:bottom w:w="80" w:type="dxa"/>
              <w:left w:w="120" w:type="dxa"/>
              <w:right w:w="120" w:type="dxa"/>
            </w:tcMar>
          </w:tcPr>
          <w:p>
            <w:r>
              <w:rPr>
                <w:rFonts w:ascii="Calibri" w:hAnsi="Calibri"/>
                <w:sz w:val="19"/>
              </w:rPr>
              <w:t>Platinum</w:t>
            </w:r>
          </w:p>
        </w:tc>
        <w:tc>
          <w:tcPr>
            <w:tcW w:type="dxa" w:w="2340"/>
            <w:shd w:fill="FFFFFF"/>
            <w:tcMar>
              <w:top w:w="80" w:type="dxa"/>
              <w:bottom w:w="80" w:type="dxa"/>
              <w:left w:w="120" w:type="dxa"/>
              <w:right w:w="120" w:type="dxa"/>
            </w:tcMar>
          </w:tcPr>
          <w:p>
            <w:r>
              <w:rPr>
                <w:rFonts w:ascii="Calibri" w:hAnsi="Calibri"/>
                <w:sz w:val="19"/>
              </w:rPr>
              <w:t>94/110</w:t>
            </w:r>
          </w:p>
        </w:tc>
      </w:tr>
      <w:tr>
        <w:tc>
          <w:tcPr>
            <w:tcW w:type="dxa" w:w="2340"/>
            <w:shd w:fill="F9F9F9"/>
            <w:tcMar>
              <w:top w:w="80" w:type="dxa"/>
              <w:bottom w:w="80" w:type="dxa"/>
              <w:left w:w="120" w:type="dxa"/>
              <w:right w:w="120" w:type="dxa"/>
            </w:tcMar>
          </w:tcPr>
          <w:p>
            <w:r>
              <w:rPr>
                <w:rFonts w:ascii="Calibri" w:hAnsi="Calibri"/>
                <w:b/>
                <w:sz w:val="19"/>
              </w:rPr>
              <w:t>Godrej Bhavan</w:t>
            </w:r>
          </w:p>
        </w:tc>
        <w:tc>
          <w:tcPr>
            <w:tcW w:type="dxa" w:w="2340"/>
            <w:shd w:fill="F9F9F9"/>
            <w:tcMar>
              <w:top w:w="80" w:type="dxa"/>
              <w:bottom w:w="80" w:type="dxa"/>
              <w:left w:w="120" w:type="dxa"/>
              <w:right w:w="120" w:type="dxa"/>
            </w:tcMar>
          </w:tcPr>
          <w:p>
            <w:r>
              <w:rPr>
                <w:rFonts w:ascii="Calibri" w:hAnsi="Calibri"/>
                <w:sz w:val="19"/>
              </w:rPr>
              <w:t>Mumbai</w:t>
            </w:r>
          </w:p>
        </w:tc>
        <w:tc>
          <w:tcPr>
            <w:tcW w:type="dxa" w:w="2340"/>
            <w:shd w:fill="F9F9F9"/>
            <w:tcMar>
              <w:top w:w="80" w:type="dxa"/>
              <w:bottom w:w="80" w:type="dxa"/>
              <w:left w:w="120" w:type="dxa"/>
              <w:right w:w="120" w:type="dxa"/>
            </w:tcMar>
          </w:tcPr>
          <w:p>
            <w:r>
              <w:rPr>
                <w:rFonts w:ascii="Calibri" w:hAnsi="Calibri"/>
                <w:sz w:val="19"/>
              </w:rPr>
              <w:t>Platinum</w:t>
            </w:r>
          </w:p>
        </w:tc>
        <w:tc>
          <w:tcPr>
            <w:tcW w:type="dxa" w:w="2340"/>
            <w:shd w:fill="F9F9F9"/>
            <w:tcMar>
              <w:top w:w="80" w:type="dxa"/>
              <w:bottom w:w="80" w:type="dxa"/>
              <w:left w:w="120" w:type="dxa"/>
              <w:right w:w="120" w:type="dxa"/>
            </w:tcMar>
          </w:tcPr>
          <w:p>
            <w:r>
              <w:rPr>
                <w:rFonts w:ascii="Calibri" w:hAnsi="Calibri"/>
                <w:sz w:val="19"/>
              </w:rPr>
              <w:t>88/100</w:t>
            </w:r>
          </w:p>
        </w:tc>
      </w:tr>
      <w:tr>
        <w:tc>
          <w:tcPr>
            <w:tcW w:type="dxa" w:w="2340"/>
            <w:shd w:fill="FFFFFF"/>
            <w:tcMar>
              <w:top w:w="80" w:type="dxa"/>
              <w:bottom w:w="80" w:type="dxa"/>
              <w:left w:w="120" w:type="dxa"/>
              <w:right w:w="120" w:type="dxa"/>
            </w:tcMar>
          </w:tcPr>
          <w:p>
            <w:r>
              <w:rPr>
                <w:rFonts w:ascii="Calibri" w:hAnsi="Calibri"/>
                <w:b/>
                <w:sz w:val="19"/>
              </w:rPr>
              <w:t>DLF Cybercity (Bldg 10)</w:t>
            </w:r>
          </w:p>
        </w:tc>
        <w:tc>
          <w:tcPr>
            <w:tcW w:type="dxa" w:w="2340"/>
            <w:shd w:fill="FFFFFF"/>
            <w:tcMar>
              <w:top w:w="80" w:type="dxa"/>
              <w:bottom w:w="80" w:type="dxa"/>
              <w:left w:w="120" w:type="dxa"/>
              <w:right w:w="120" w:type="dxa"/>
            </w:tcMar>
          </w:tcPr>
          <w:p>
            <w:r>
              <w:rPr>
                <w:rFonts w:ascii="Calibri" w:hAnsi="Calibri"/>
                <w:sz w:val="19"/>
              </w:rPr>
              <w:t>Gurugram</w:t>
            </w:r>
          </w:p>
        </w:tc>
        <w:tc>
          <w:tcPr>
            <w:tcW w:type="dxa" w:w="2340"/>
            <w:shd w:fill="FFFFFF"/>
            <w:tcMar>
              <w:top w:w="80" w:type="dxa"/>
              <w:bottom w:w="80" w:type="dxa"/>
              <w:left w:w="120" w:type="dxa"/>
              <w:right w:w="120" w:type="dxa"/>
            </w:tcMar>
          </w:tcPr>
          <w:p>
            <w:r>
              <w:rPr>
                <w:rFonts w:ascii="Calibri" w:hAnsi="Calibri"/>
                <w:sz w:val="19"/>
              </w:rPr>
              <w:t>Platinum</w:t>
            </w:r>
          </w:p>
        </w:tc>
        <w:tc>
          <w:tcPr>
            <w:tcW w:type="dxa" w:w="2340"/>
            <w:shd w:fill="FFFFFF"/>
            <w:tcMar>
              <w:top w:w="80" w:type="dxa"/>
              <w:bottom w:w="80" w:type="dxa"/>
              <w:left w:w="120" w:type="dxa"/>
              <w:right w:w="120" w:type="dxa"/>
            </w:tcMar>
          </w:tcPr>
          <w:p>
            <w:r>
              <w:rPr>
                <w:rFonts w:ascii="Calibri" w:hAnsi="Calibri"/>
                <w:sz w:val="19"/>
              </w:rPr>
              <w:t>89/110</w:t>
            </w:r>
          </w:p>
        </w:tc>
      </w:tr>
      <w:tr>
        <w:tc>
          <w:tcPr>
            <w:tcW w:type="dxa" w:w="2340"/>
            <w:shd w:fill="F9F9F9"/>
            <w:tcMar>
              <w:top w:w="80" w:type="dxa"/>
              <w:bottom w:w="80" w:type="dxa"/>
              <w:left w:w="120" w:type="dxa"/>
              <w:right w:w="120" w:type="dxa"/>
            </w:tcMar>
          </w:tcPr>
          <w:p>
            <w:r>
              <w:rPr>
                <w:rFonts w:ascii="Calibri" w:hAnsi="Calibri"/>
                <w:b/>
                <w:sz w:val="19"/>
              </w:rPr>
              <w:t>Olympia Tech Park</w:t>
            </w:r>
          </w:p>
        </w:tc>
        <w:tc>
          <w:tcPr>
            <w:tcW w:type="dxa" w:w="2340"/>
            <w:shd w:fill="F9F9F9"/>
            <w:tcMar>
              <w:top w:w="80" w:type="dxa"/>
              <w:bottom w:w="80" w:type="dxa"/>
              <w:left w:w="120" w:type="dxa"/>
              <w:right w:w="120" w:type="dxa"/>
            </w:tcMar>
          </w:tcPr>
          <w:p>
            <w:r>
              <w:rPr>
                <w:rFonts w:ascii="Calibri" w:hAnsi="Calibri"/>
                <w:sz w:val="19"/>
              </w:rPr>
              <w:t>Chennai</w:t>
            </w:r>
          </w:p>
        </w:tc>
        <w:tc>
          <w:tcPr>
            <w:tcW w:type="dxa" w:w="2340"/>
            <w:shd w:fill="F9F9F9"/>
            <w:tcMar>
              <w:top w:w="80" w:type="dxa"/>
              <w:bottom w:w="80" w:type="dxa"/>
              <w:left w:w="120" w:type="dxa"/>
              <w:right w:w="120" w:type="dxa"/>
            </w:tcMar>
          </w:tcPr>
          <w:p>
            <w:r>
              <w:rPr>
                <w:rFonts w:ascii="Calibri" w:hAnsi="Calibri"/>
                <w:sz w:val="19"/>
              </w:rPr>
              <w:t>Platinum/Gold</w:t>
            </w:r>
          </w:p>
        </w:tc>
        <w:tc>
          <w:tcPr>
            <w:tcW w:type="dxa" w:w="2340"/>
            <w:shd w:fill="F9F9F9"/>
            <w:tcMar>
              <w:top w:w="80" w:type="dxa"/>
              <w:bottom w:w="80" w:type="dxa"/>
              <w:left w:w="120" w:type="dxa"/>
              <w:right w:w="120" w:type="dxa"/>
            </w:tcMar>
          </w:tcPr>
          <w:p>
            <w:r>
              <w:rPr>
                <w:rFonts w:ascii="Calibri" w:hAnsi="Calibri"/>
                <w:sz w:val="19"/>
              </w:rPr>
              <w:t>85/110</w:t>
            </w:r>
          </w:p>
        </w:tc>
      </w:tr>
      <w:tr>
        <w:tc>
          <w:tcPr>
            <w:tcW w:type="dxa" w:w="2340"/>
            <w:shd w:fill="FFFFFF"/>
            <w:tcMar>
              <w:top w:w="80" w:type="dxa"/>
              <w:bottom w:w="80" w:type="dxa"/>
              <w:left w:w="120" w:type="dxa"/>
              <w:right w:w="120" w:type="dxa"/>
            </w:tcMar>
          </w:tcPr>
          <w:p>
            <w:r>
              <w:rPr>
                <w:rFonts w:ascii="Calibri" w:hAnsi="Calibri"/>
                <w:b/>
                <w:sz w:val="19"/>
              </w:rPr>
              <w:t>Indira Paryavaran Bhawan</w:t>
            </w:r>
          </w:p>
        </w:tc>
        <w:tc>
          <w:tcPr>
            <w:tcW w:type="dxa" w:w="2340"/>
            <w:shd w:fill="FFFFFF"/>
            <w:tcMar>
              <w:top w:w="80" w:type="dxa"/>
              <w:bottom w:w="80" w:type="dxa"/>
              <w:left w:w="120" w:type="dxa"/>
              <w:right w:w="120" w:type="dxa"/>
            </w:tcMar>
          </w:tcPr>
          <w:p>
            <w:r>
              <w:rPr>
                <w:rFonts w:ascii="Calibri" w:hAnsi="Calibri"/>
                <w:sz w:val="19"/>
              </w:rPr>
              <w:t>New Delhi</w:t>
            </w:r>
          </w:p>
        </w:tc>
        <w:tc>
          <w:tcPr>
            <w:tcW w:type="dxa" w:w="2340"/>
            <w:shd w:fill="FFFFFF"/>
            <w:tcMar>
              <w:top w:w="80" w:type="dxa"/>
              <w:bottom w:w="80" w:type="dxa"/>
              <w:left w:w="120" w:type="dxa"/>
              <w:right w:w="120" w:type="dxa"/>
            </w:tcMar>
          </w:tcPr>
          <w:p>
            <w:r>
              <w:rPr>
                <w:rFonts w:ascii="Calibri" w:hAnsi="Calibri"/>
                <w:sz w:val="19"/>
              </w:rPr>
              <w:t>Platinum (Net Zero)</w:t>
            </w:r>
          </w:p>
        </w:tc>
        <w:tc>
          <w:tcPr>
            <w:tcW w:type="dxa" w:w="2340"/>
            <w:shd w:fill="FFFFFF"/>
            <w:tcMar>
              <w:top w:w="80" w:type="dxa"/>
              <w:bottom w:w="80" w:type="dxa"/>
              <w:left w:w="120" w:type="dxa"/>
              <w:right w:w="120" w:type="dxa"/>
            </w:tcMar>
          </w:tcPr>
          <w:p>
            <w:r>
              <w:rPr>
                <w:rFonts w:ascii="Calibri" w:hAnsi="Calibri"/>
                <w:sz w:val="19"/>
              </w:rPr>
              <w:t>101/110</w:t>
            </w:r>
          </w:p>
        </w:tc>
      </w:tr>
      <w:tr>
        <w:tc>
          <w:tcPr>
            <w:tcW w:type="dxa" w:w="2340"/>
            <w:shd w:fill="F9F9F9"/>
            <w:tcMar>
              <w:top w:w="80" w:type="dxa"/>
              <w:bottom w:w="80" w:type="dxa"/>
              <w:left w:w="120" w:type="dxa"/>
              <w:right w:w="120" w:type="dxa"/>
            </w:tcMar>
          </w:tcPr>
          <w:p>
            <w:r>
              <w:rPr>
                <w:rFonts w:ascii="Calibri" w:hAnsi="Calibri"/>
                <w:b/>
                <w:sz w:val="19"/>
              </w:rPr>
              <w:t>RMZ Ecoworld</w:t>
            </w:r>
          </w:p>
        </w:tc>
        <w:tc>
          <w:tcPr>
            <w:tcW w:type="dxa" w:w="2340"/>
            <w:shd w:fill="F9F9F9"/>
            <w:tcMar>
              <w:top w:w="80" w:type="dxa"/>
              <w:bottom w:w="80" w:type="dxa"/>
              <w:left w:w="120" w:type="dxa"/>
              <w:right w:w="120" w:type="dxa"/>
            </w:tcMar>
          </w:tcPr>
          <w:p>
            <w:r>
              <w:rPr>
                <w:rFonts w:ascii="Calibri" w:hAnsi="Calibri"/>
                <w:sz w:val="19"/>
              </w:rPr>
              <w:t>Bengaluru</w:t>
            </w:r>
          </w:p>
        </w:tc>
        <w:tc>
          <w:tcPr>
            <w:tcW w:type="dxa" w:w="2340"/>
            <w:shd w:fill="F9F9F9"/>
            <w:tcMar>
              <w:top w:w="80" w:type="dxa"/>
              <w:bottom w:w="80" w:type="dxa"/>
              <w:left w:w="120" w:type="dxa"/>
              <w:right w:w="120" w:type="dxa"/>
            </w:tcMar>
          </w:tcPr>
          <w:p>
            <w:r>
              <w:rPr>
                <w:rFonts w:ascii="Calibri" w:hAnsi="Calibri"/>
                <w:sz w:val="19"/>
              </w:rPr>
              <w:t>Platinum</w:t>
            </w:r>
          </w:p>
        </w:tc>
        <w:tc>
          <w:tcPr>
            <w:tcW w:type="dxa" w:w="2340"/>
            <w:shd w:fill="F9F9F9"/>
            <w:tcMar>
              <w:top w:w="80" w:type="dxa"/>
              <w:bottom w:w="80" w:type="dxa"/>
              <w:left w:w="120" w:type="dxa"/>
              <w:right w:w="120" w:type="dxa"/>
            </w:tcMar>
          </w:tcPr>
          <w:p>
            <w:r>
              <w:rPr>
                <w:rFonts w:ascii="Calibri" w:hAnsi="Calibri"/>
                <w:sz w:val="19"/>
              </w:rPr>
              <w:t>87/110</w:t>
            </w:r>
          </w:p>
        </w:tc>
      </w:tr>
      <w:tr>
        <w:tc>
          <w:tcPr>
            <w:tcW w:type="dxa" w:w="2340"/>
            <w:shd w:fill="FFFFFF"/>
            <w:tcMar>
              <w:top w:w="80" w:type="dxa"/>
              <w:bottom w:w="80" w:type="dxa"/>
              <w:left w:w="120" w:type="dxa"/>
              <w:right w:w="120" w:type="dxa"/>
            </w:tcMar>
          </w:tcPr>
          <w:p>
            <w:r>
              <w:rPr>
                <w:rFonts w:ascii="Calibri" w:hAnsi="Calibri"/>
                <w:b/>
                <w:sz w:val="19"/>
              </w:rPr>
              <w:t>Cyberes Park (TCS)</w:t>
            </w:r>
          </w:p>
        </w:tc>
        <w:tc>
          <w:tcPr>
            <w:tcW w:type="dxa" w:w="2340"/>
            <w:shd w:fill="FFFFFF"/>
            <w:tcMar>
              <w:top w:w="80" w:type="dxa"/>
              <w:bottom w:w="80" w:type="dxa"/>
              <w:left w:w="120" w:type="dxa"/>
              <w:right w:w="120" w:type="dxa"/>
            </w:tcMar>
          </w:tcPr>
          <w:p>
            <w:r>
              <w:rPr>
                <w:rFonts w:ascii="Calibri" w:hAnsi="Calibri"/>
                <w:sz w:val="19"/>
              </w:rPr>
              <w:t>Kochi</w:t>
            </w:r>
          </w:p>
        </w:tc>
        <w:tc>
          <w:tcPr>
            <w:tcW w:type="dxa" w:w="2340"/>
            <w:shd w:fill="FFFFFF"/>
            <w:tcMar>
              <w:top w:w="80" w:type="dxa"/>
              <w:bottom w:w="80" w:type="dxa"/>
              <w:left w:w="120" w:type="dxa"/>
              <w:right w:w="120" w:type="dxa"/>
            </w:tcMar>
          </w:tcPr>
          <w:p>
            <w:r>
              <w:rPr>
                <w:rFonts w:ascii="Calibri" w:hAnsi="Calibri"/>
                <w:sz w:val="19"/>
              </w:rPr>
              <w:t>Platinum</w:t>
            </w:r>
          </w:p>
        </w:tc>
        <w:tc>
          <w:tcPr>
            <w:tcW w:type="dxa" w:w="2340"/>
            <w:shd w:fill="FFFFFF"/>
            <w:tcMar>
              <w:top w:w="80" w:type="dxa"/>
              <w:bottom w:w="80" w:type="dxa"/>
              <w:left w:w="120" w:type="dxa"/>
              <w:right w:w="120" w:type="dxa"/>
            </w:tcMar>
          </w:tcPr>
          <w:p>
            <w:r>
              <w:rPr>
                <w:rFonts w:ascii="Calibri" w:hAnsi="Calibri"/>
                <w:sz w:val="19"/>
              </w:rPr>
              <w:t>91/110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DDB5D9-80D3-40FC-94F8-4192FD91E529}"/>
</file>

<file path=customXml/itemProps3.xml><?xml version="1.0" encoding="utf-8"?>
<ds:datastoreItem xmlns:ds="http://schemas.openxmlformats.org/officeDocument/2006/customXml" ds:itemID="{9525C55D-C8DE-4875-B613-4D07CABA76A8}"/>
</file>

<file path=customXml/itemProps4.xml><?xml version="1.0" encoding="utf-8"?>
<ds:datastoreItem xmlns:ds="http://schemas.openxmlformats.org/officeDocument/2006/customXml" ds:itemID="{12A79204-6859-4DB6-801A-E7ED6964836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