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DS 340W: Coding Update 3</w:t>
      </w:r>
    </w:p>
    <w:p>
      <w:pPr>
        <w:spacing w:after="80"/>
      </w:pPr>
      <w:r>
        <w:rPr>
          <w:b w:val="0"/>
        </w:rPr>
        <w:t>Shreyansh Agarwal</w:t>
      </w:r>
    </w:p>
    <w:p>
      <w:pPr>
        <w:spacing w:after="80"/>
      </w:pPr>
      <w:r>
        <w:rPr>
          <w:b/>
        </w:rPr>
        <w:t xml:space="preserve">Parent paper 1: </w:t>
      </w:r>
      <w:r>
        <w:rPr>
          <w:b w:val="0"/>
        </w:rPr>
        <w:t>Khan et al. (2023), PLOS ONE 18(9): e0286362</w:t>
      </w:r>
    </w:p>
    <w:p>
      <w:pPr>
        <w:spacing w:after="80"/>
      </w:pPr>
      <w:r>
        <w:rPr>
          <w:b/>
        </w:rPr>
        <w:t xml:space="preserve">Parent paper 2: </w:t>
      </w:r>
      <w:r>
        <w:rPr>
          <w:b w:val="0"/>
        </w:rPr>
        <w:t>Kelly, Malamud &amp; Zhou (2024), The Journal of Finance 79(1): 459-503</w:t>
      </w:r>
    </w:p>
    <w:p>
      <w:pPr>
        <w:spacing w:after="80"/>
      </w:pPr>
      <w:r>
        <w:rPr>
          <w:b/>
        </w:rPr>
        <w:t xml:space="preserve">Parent paper 3: </w:t>
      </w:r>
      <w:r>
        <w:rPr>
          <w:b w:val="0"/>
        </w:rPr>
        <w:t>Li, Sakkas &amp; Urquhart (2022), Journal of Financial Markets 57: 100619</w:t>
      </w:r>
    </w:p>
    <w:p>
      <w:pPr>
        <w:spacing w:after="80"/>
      </w:pPr>
      <w:r>
        <w:rPr>
          <w:b/>
        </w:rPr>
        <w:t xml:space="preserve">Repository: </w:t>
      </w:r>
      <w:r>
        <w:rPr>
          <w:b w:val="0"/>
        </w:rPr>
        <w:t>https://github.com/shreyansh11-git/DS340W-project</w:t>
      </w:r>
    </w:p>
    <w:p>
      <w:pPr>
        <w:spacing w:after="80" w:before="200"/>
      </w:pPr>
      <w:r>
        <w:rPr>
          <w:b/>
          <w:color w:val="2F3836"/>
          <w:sz w:val="26"/>
        </w:rPr>
        <w:t>1. Have you started the coding for your parent paper yet?</w:t>
      </w:r>
    </w:p>
    <w:p>
      <w:pPr>
        <w:spacing w:after="80"/>
      </w:pPr>
      <w:r>
        <w:rPr>
          <w:b w:val="0"/>
        </w:rPr>
        <w:t>Yes.</w:t>
      </w:r>
    </w:p>
    <w:p>
      <w:pPr>
        <w:pStyle w:val="ListBullet"/>
        <w:spacing w:after="40"/>
      </w:pPr>
      <w:r>
        <w:rPr>
          <w:b w:val="0"/>
        </w:rPr>
        <w:t>Data pipeline (from earlier check-ins): TSLA daily bars and first 15-minute bars from Alpaca, 2016-2021, split-adjusted, with chronological 70/20/10 train/test/validation splits and the validation set held out in code.</w:t>
      </w:r>
    </w:p>
    <w:p>
      <w:pPr>
        <w:pStyle w:val="ListBullet"/>
        <w:spacing w:after="40"/>
      </w:pPr>
      <w:r>
        <w:rPr>
          <w:b w:val="0"/>
        </w:rPr>
        <w:t>New since the last check-in: the paper's nine Table 2 features and all nine Table 3 models are now implemented and run (details in item 4).</w:t>
      </w:r>
    </w:p>
    <w:p>
      <w:pPr>
        <w:pStyle w:val="ListBullet"/>
        <w:spacing w:after="40"/>
      </w:pPr>
      <w:r>
        <w:rPr>
          <w:b w:val="0"/>
        </w:rPr>
        <w:t>Still to do for a full reproduction: the first-15-minute arm and the $10,000 trading simulation.</w:t>
      </w:r>
    </w:p>
    <w:p>
      <w:pPr>
        <w:spacing w:after="80" w:before="200"/>
      </w:pPr>
      <w:r>
        <w:rPr>
          <w:b/>
          <w:color w:val="2F3836"/>
          <w:sz w:val="26"/>
        </w:rPr>
        <w:t>2. Have you decided on a methodology you wish to implement for your novel approach?</w:t>
      </w:r>
    </w:p>
    <w:p>
      <w:pPr>
        <w:spacing w:after="80"/>
      </w:pPr>
      <w:r>
        <w:rPr>
          <w:b w:val="0"/>
        </w:rPr>
        <w:t>Yes. Correct-and-quantify: reimplement Khan et al. as the paper describes it, measure how much the published code's lookahead bias inflates accuracy, and then judge the opening-interval signal with the out-of-sample and trading tests used in parent papers 2 and 3.</w:t>
      </w:r>
    </w:p>
    <w:p>
      <w:pPr>
        <w:pStyle w:val="ListBullet"/>
        <w:spacing w:after="40"/>
      </w:pPr>
      <w:r>
        <w:rPr>
          <w:b w:val="0"/>
        </w:rPr>
        <w:t>Step 1, done: correctly lagged features vs the notebook's forward-shifted features.</w:t>
      </w:r>
    </w:p>
    <w:p>
      <w:pPr>
        <w:pStyle w:val="ListBullet"/>
        <w:spacing w:after="40"/>
      </w:pPr>
      <w:r>
        <w:rPr>
          <w:b w:val="0"/>
        </w:rPr>
        <w:t>Step 2, code written: replicate the intraday momentum test of parent paper 3 (does the first half hour predict the last half hour?) on SPY, with out-of-sample R², the Clark-West test and a long/short timing rule, gross and net of costs.</w:t>
      </w:r>
    </w:p>
    <w:p>
      <w:pPr>
        <w:pStyle w:val="ListBullet"/>
        <w:spacing w:after="40"/>
      </w:pPr>
      <w:r>
        <w:rPr>
          <w:b w:val="0"/>
        </w:rPr>
        <w:t>Step 3, next: apply the same out-of-sample and Sharpe-ratio evaluation to the Khan models and to TSLA, so the paper's accuracy claims can be compared with realistic, cost-adjusted performance.</w:t>
      </w:r>
    </w:p>
    <w:p>
      <w:pPr>
        <w:spacing w:after="80" w:before="200"/>
      </w:pPr>
      <w:r>
        <w:rPr>
          <w:b/>
          <w:color w:val="2F3836"/>
          <w:sz w:val="26"/>
        </w:rPr>
        <w:t>3. Have you modified the code for your parent paper (or your own) yet?</w:t>
      </w:r>
    </w:p>
    <w:p>
      <w:pPr>
        <w:spacing w:after="80"/>
      </w:pPr>
      <w:r>
        <w:rPr>
          <w:b w:val="0"/>
        </w:rPr>
        <w:t>Yes, both.</w:t>
      </w:r>
    </w:p>
    <w:p>
      <w:pPr>
        <w:pStyle w:val="ListBullet"/>
        <w:spacing w:after="40"/>
      </w:pPr>
      <w:r>
        <w:rPr>
          <w:b w:val="0"/>
        </w:rPr>
        <w:t>Parent paper's notebook: unchanged since the last check-in (two documented cells changed so it runs; original kept as ORIGINAL_UNMODIFIED.ipynb).</w:t>
      </w:r>
    </w:p>
    <w:p>
      <w:pPr>
        <w:pStyle w:val="ListBullet"/>
        <w:spacing w:after="40"/>
      </w:pPr>
      <w:r>
        <w:rPr>
          <w:b w:val="0"/>
        </w:rPr>
        <w:t>Own code: the notebook's TA-Lib indicators were replaced with my own pandas implementations (RSI, ADX, SMA, rolling correlation, momentum) so the full method runs without TA-Lib, using the paper's settings (SMA 50, ADX 20, correlation 24, momentum 20) instead of the notebook's (SMA 30, ADX 50, correlation 26, no momentum).</w:t>
      </w:r>
    </w:p>
    <w:p>
      <w:pPr>
        <w:pStyle w:val="ListBullet"/>
        <w:spacing w:after="40"/>
      </w:pPr>
      <w:r>
        <w:rPr>
          <w:b w:val="0"/>
        </w:rPr>
        <w:t>Own code: the scaler is a Min-Max scaler fit on the training split only (the notebook refits a StandardScaler on the test set).</w:t>
      </w:r>
    </w:p>
    <w:p>
      <w:pPr>
        <w:spacing w:after="80" w:before="200"/>
      </w:pPr>
      <w:r>
        <w:rPr>
          <w:b/>
          <w:color w:val="2F3836"/>
          <w:sz w:val="26"/>
        </w:rPr>
        <w:t>4. Since the previous check-in, what changes have you made?</w:t>
      </w:r>
    </w:p>
    <w:p>
      <w:pPr>
        <w:spacing w:after="80"/>
      </w:pPr>
      <w:r>
        <w:rPr>
          <w:b/>
        </w:rPr>
        <w:t>New files in the repository:</w:t>
      </w:r>
    </w:p>
    <w:p>
      <w:pPr>
        <w:pStyle w:val="ListBullet"/>
        <w:spacing w:after="40"/>
      </w:pPr>
      <w:r>
        <w:rPr>
          <w:b/>
        </w:rPr>
        <w:t xml:space="preserve">src/khan_features.py: </w:t>
      </w:r>
      <w:r>
        <w:rPr>
          <w:b w:val="0"/>
        </w:rPr>
        <w:t>the nine Table 2 features. The three "Previous" features can be built lagged (.shift(+1), the paper), same-day, or forward-shifted (.shift(-1), the authors' notebook).</w:t>
      </w:r>
    </w:p>
    <w:p>
      <w:pPr>
        <w:pStyle w:val="ListBullet"/>
        <w:spacing w:after="40"/>
      </w:pPr>
      <w:r>
        <w:rPr>
          <w:b/>
        </w:rPr>
        <w:t xml:space="preserve">experiments/khan_lag_vs_lookahead.py: </w:t>
      </w:r>
      <w:r>
        <w:rPr>
          <w:b w:val="0"/>
        </w:rPr>
        <w:t>trains SVM, Decision Tree, Logistic Regression, Naive Bayes, KNN, Random Forest, AdaBoost, XGBoost and an ANN with the Table 7 grids (GridSearchCV with time-series cross-validation), for each feature version.</w:t>
      </w:r>
    </w:p>
    <w:p>
      <w:pPr>
        <w:pStyle w:val="ListBullet"/>
        <w:spacing w:after="40"/>
      </w:pPr>
      <w:r>
        <w:rPr>
          <w:b/>
        </w:rPr>
        <w:t xml:space="preserve">src/fetch_intraday.py and experiments/itsm_replication.py: </w:t>
      </w:r>
      <w:r>
        <w:rPr>
          <w:b w:val="0"/>
        </w:rPr>
        <w:t>download 30-minute bars from Alpaca and run parent paper 3's in-sample regression (Newey-West t-stat), expanding-window out-of-sample test and timing strategy. Tested on synthetic data with a known effect: the planted slope of 0.05 was recovered as 0.0501, and the Newey-West t-statistic matches statsmodels.</w:t>
      </w:r>
    </w:p>
    <w:p>
      <w:pPr>
        <w:spacing w:after="80" w:before="120"/>
      </w:pPr>
      <w:r>
        <w:rPr>
          <w:b/>
        </w:rPr>
        <w:t>Result of step 1 (TSLA, test period 2020-03-17 to 2021-05-26, test accuracy):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Lagged (paper)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Lookahead (notebook)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Inflation</w:t>
            </w:r>
          </w:p>
        </w:tc>
      </w:tr>
      <w:tr>
        <w:tc>
          <w:tcPr>
            <w:tcW w:type="dxa" w:w="2340"/>
          </w:tcPr>
          <w:p>
            <w:r>
              <w:t>AdaBoost</w:t>
            </w:r>
          </w:p>
        </w:tc>
        <w:tc>
          <w:tcPr>
            <w:tcW w:type="dxa" w:w="2340"/>
          </w:tcPr>
          <w:p>
            <w:r>
              <w:t>44.5%</w:t>
            </w:r>
          </w:p>
        </w:tc>
        <w:tc>
          <w:tcPr>
            <w:tcW w:type="dxa" w:w="2340"/>
          </w:tcPr>
          <w:p>
            <w:r>
              <w:t>77.7%</w:t>
            </w:r>
          </w:p>
        </w:tc>
        <w:tc>
          <w:tcPr>
            <w:tcW w:type="dxa" w:w="2340"/>
          </w:tcPr>
          <w:p>
            <w:r>
              <w:t>+33.2 pts</w:t>
            </w:r>
          </w:p>
        </w:tc>
      </w:tr>
      <w:tr>
        <w:tc>
          <w:tcPr>
            <w:tcW w:type="dxa" w:w="2340"/>
          </w:tcPr>
          <w:p>
            <w:r>
              <w:t>Logistic Regression</w:t>
            </w:r>
          </w:p>
        </w:tc>
        <w:tc>
          <w:tcPr>
            <w:tcW w:type="dxa" w:w="2340"/>
          </w:tcPr>
          <w:p>
            <w:r>
              <w:t>44.2%</w:t>
            </w:r>
          </w:p>
        </w:tc>
        <w:tc>
          <w:tcPr>
            <w:tcW w:type="dxa" w:w="2340"/>
          </w:tcPr>
          <w:p>
            <w:r>
              <w:t>74.1%</w:t>
            </w:r>
          </w:p>
        </w:tc>
        <w:tc>
          <w:tcPr>
            <w:tcW w:type="dxa" w:w="2340"/>
          </w:tcPr>
          <w:p>
            <w:r>
              <w:t>+29.9 pts</w:t>
            </w:r>
          </w:p>
        </w:tc>
      </w:tr>
      <w:tr>
        <w:tc>
          <w:tcPr>
            <w:tcW w:type="dxa" w:w="2340"/>
          </w:tcPr>
          <w:p>
            <w:r>
              <w:t>Random Forest</w:t>
            </w:r>
          </w:p>
        </w:tc>
        <w:tc>
          <w:tcPr>
            <w:tcW w:type="dxa" w:w="2340"/>
          </w:tcPr>
          <w:p>
            <w:r>
              <w:t>46.8%</w:t>
            </w:r>
          </w:p>
        </w:tc>
        <w:tc>
          <w:tcPr>
            <w:tcW w:type="dxa" w:w="2340"/>
          </w:tcPr>
          <w:p>
            <w:r>
              <w:t>74.8%</w:t>
            </w:r>
          </w:p>
        </w:tc>
        <w:tc>
          <w:tcPr>
            <w:tcW w:type="dxa" w:w="2340"/>
          </w:tcPr>
          <w:p>
            <w:r>
              <w:t>+27.9 pts</w:t>
            </w:r>
          </w:p>
        </w:tc>
      </w:tr>
      <w:tr>
        <w:tc>
          <w:tcPr>
            <w:tcW w:type="dxa" w:w="2340"/>
          </w:tcPr>
          <w:p>
            <w:r>
              <w:t>Naive Bayes</w:t>
            </w:r>
          </w:p>
        </w:tc>
        <w:tc>
          <w:tcPr>
            <w:tcW w:type="dxa" w:w="2340"/>
          </w:tcPr>
          <w:p>
            <w:r>
              <w:t>44.5%</w:t>
            </w:r>
          </w:p>
        </w:tc>
        <w:tc>
          <w:tcPr>
            <w:tcW w:type="dxa" w:w="2340"/>
          </w:tcPr>
          <w:p>
            <w:r>
              <w:t>65.8%</w:t>
            </w:r>
          </w:p>
        </w:tc>
        <w:tc>
          <w:tcPr>
            <w:tcW w:type="dxa" w:w="2340"/>
          </w:tcPr>
          <w:p>
            <w:r>
              <w:t>+21.3 pts</w:t>
            </w:r>
          </w:p>
        </w:tc>
      </w:tr>
      <w:tr>
        <w:tc>
          <w:tcPr>
            <w:tcW w:type="dxa" w:w="2340"/>
          </w:tcPr>
          <w:p>
            <w:r>
              <w:t>XGBoost</w:t>
            </w:r>
          </w:p>
        </w:tc>
        <w:tc>
          <w:tcPr>
            <w:tcW w:type="dxa" w:w="2340"/>
          </w:tcPr>
          <w:p>
            <w:r>
              <w:t>47.2%</w:t>
            </w:r>
          </w:p>
        </w:tc>
        <w:tc>
          <w:tcPr>
            <w:tcW w:type="dxa" w:w="2340"/>
          </w:tcPr>
          <w:p>
            <w:r>
              <w:t>68.4%</w:t>
            </w:r>
          </w:p>
        </w:tc>
        <w:tc>
          <w:tcPr>
            <w:tcW w:type="dxa" w:w="2340"/>
          </w:tcPr>
          <w:p>
            <w:r>
              <w:t>+21.3 pts</w:t>
            </w:r>
          </w:p>
        </w:tc>
      </w:tr>
      <w:tr>
        <w:tc>
          <w:tcPr>
            <w:tcW w:type="dxa" w:w="2340"/>
          </w:tcPr>
          <w:p>
            <w:r>
              <w:t>ANN</w:t>
            </w:r>
          </w:p>
        </w:tc>
        <w:tc>
          <w:tcPr>
            <w:tcW w:type="dxa" w:w="2340"/>
          </w:tcPr>
          <w:p>
            <w:r>
              <w:t>44.5%</w:t>
            </w:r>
          </w:p>
        </w:tc>
        <w:tc>
          <w:tcPr>
            <w:tcW w:type="dxa" w:w="2340"/>
          </w:tcPr>
          <w:p>
            <w:r>
              <w:t>54.8%</w:t>
            </w:r>
          </w:p>
        </w:tc>
        <w:tc>
          <w:tcPr>
            <w:tcW w:type="dxa" w:w="2340"/>
          </w:tcPr>
          <w:p>
            <w:r>
              <w:t>+10.3 pts</w:t>
            </w:r>
          </w:p>
        </w:tc>
      </w:tr>
      <w:tr>
        <w:tc>
          <w:tcPr>
            <w:tcW w:type="dxa" w:w="2340"/>
          </w:tcPr>
          <w:p>
            <w:r>
              <w:t>SVM</w:t>
            </w:r>
          </w:p>
        </w:tc>
        <w:tc>
          <w:tcPr>
            <w:tcW w:type="dxa" w:w="2340"/>
          </w:tcPr>
          <w:p>
            <w:r>
              <w:t>44.5%</w:t>
            </w:r>
          </w:p>
        </w:tc>
        <w:tc>
          <w:tcPr>
            <w:tcW w:type="dxa" w:w="2340"/>
          </w:tcPr>
          <w:p>
            <w:r>
              <w:t>52.2%</w:t>
            </w:r>
          </w:p>
        </w:tc>
        <w:tc>
          <w:tcPr>
            <w:tcW w:type="dxa" w:w="2340"/>
          </w:tcPr>
          <w:p>
            <w:r>
              <w:t>+7.6 pts</w:t>
            </w:r>
          </w:p>
        </w:tc>
      </w:tr>
      <w:tr>
        <w:tc>
          <w:tcPr>
            <w:tcW w:type="dxa" w:w="2340"/>
          </w:tcPr>
          <w:p>
            <w:r>
              <w:t>KNN</w:t>
            </w:r>
          </w:p>
        </w:tc>
        <w:tc>
          <w:tcPr>
            <w:tcW w:type="dxa" w:w="2340"/>
          </w:tcPr>
          <w:p>
            <w:r>
              <w:t>46.2%</w:t>
            </w:r>
          </w:p>
        </w:tc>
        <w:tc>
          <w:tcPr>
            <w:tcW w:type="dxa" w:w="2340"/>
          </w:tcPr>
          <w:p>
            <w:r>
              <w:t>52.8%</w:t>
            </w:r>
          </w:p>
        </w:tc>
        <w:tc>
          <w:tcPr>
            <w:tcW w:type="dxa" w:w="2340"/>
          </w:tcPr>
          <w:p>
            <w:r>
              <w:t>+6.6 pts</w:t>
            </w:r>
          </w:p>
        </w:tc>
      </w:tr>
      <w:tr>
        <w:tc>
          <w:tcPr>
            <w:tcW w:type="dxa" w:w="2340"/>
          </w:tcPr>
          <w:p>
            <w:r>
              <w:t>Decision Tree</w:t>
            </w:r>
          </w:p>
        </w:tc>
        <w:tc>
          <w:tcPr>
            <w:tcW w:type="dxa" w:w="2340"/>
          </w:tcPr>
          <w:p>
            <w:r>
              <w:t>44.5%</w:t>
            </w:r>
          </w:p>
        </w:tc>
        <w:tc>
          <w:tcPr>
            <w:tcW w:type="dxa" w:w="2340"/>
          </w:tcPr>
          <w:p>
            <w:r>
              <w:t>42.9%</w:t>
            </w:r>
          </w:p>
        </w:tc>
        <w:tc>
          <w:tcPr>
            <w:tcW w:type="dxa" w:w="2340"/>
          </w:tcPr>
          <w:p>
            <w:r>
              <w:t>-1.7 pts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pStyle w:val="ListBullet"/>
        <w:spacing w:after="40"/>
      </w:pPr>
      <w:r>
        <w:rPr>
          <w:b w:val="0"/>
        </w:rPr>
        <w:t>The forward shift adds up to 33 percentage points of accuracy (AdaBoost 44.5% to 77.7%). That gain comes from seeing the next day's bar, not from predictive skill.</w:t>
      </w:r>
    </w:p>
    <w:p>
      <w:pPr>
        <w:pStyle w:val="ListBullet"/>
        <w:spacing w:after="40"/>
      </w:pPr>
      <w:r>
        <w:rPr>
          <w:b w:val="0"/>
        </w:rPr>
        <w:t>With the features lagged as the paper specifies, no model beats the simple baseline of always predicting "up" (55.5%).</w:t>
      </w:r>
    </w:p>
    <w:p>
      <w:pPr>
        <w:pStyle w:val="ListBullet"/>
        <w:spacing w:after="40"/>
      </w:pPr>
      <w:r>
        <w:rPr>
          <w:b w:val="0"/>
        </w:rPr>
        <w:t>A cause found along the way: Tesla's price rose so much that the price-based features in the test period (e.g. SMA up to 777.7) are far outside the training range (maximum 131.7), so a scaler fit on training data cannot represent them.</w:t>
      </w:r>
    </w:p>
    <w:p>
      <w:pPr>
        <w:spacing w:after="80" w:before="120"/>
      </w:pPr>
      <w:r>
        <w:rPr>
          <w:b/>
        </w:rPr>
        <w:t>Next steps:</w:t>
      </w:r>
    </w:p>
    <w:p>
      <w:pPr>
        <w:pStyle w:val="ListBullet"/>
        <w:spacing w:after="40"/>
      </w:pPr>
      <w:r>
        <w:rPr>
          <w:b w:val="0"/>
        </w:rPr>
        <w:t>Download SPY 30-minute bars (2016-2025) and run the parent paper 3 replication.</w:t>
      </w:r>
    </w:p>
    <w:p>
      <w:pPr>
        <w:pStyle w:val="ListBullet"/>
        <w:spacing w:after="40"/>
      </w:pPr>
      <w:r>
        <w:rPr>
          <w:b w:val="0"/>
        </w:rPr>
        <w:t>Rebuild the price-based Khan features as percentages of price, add the first-15-minute arm, and rerun both strategies.</w:t>
      </w:r>
    </w:p>
    <w:p>
      <w:pPr>
        <w:pStyle w:val="ListBullet"/>
        <w:spacing w:after="40"/>
      </w:pPr>
      <w:r>
        <w:rPr>
          <w:b w:val="0"/>
        </w:rPr>
        <w:t>Add the paper's $10,000 trading simulation with 0.1% commission and report Sharpe ratios alongside accuracy.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