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64"/>
      </w:pPr>
      <w:r>
        <w:rPr>
          <w:rFonts w:ascii="Calibri" w:cs="Calibri" w:eastAsia="Calibri" w:hAnsi="Calibri"/>
          <w:b/>
          <w:bCs/>
          <w:sz w:val="22"/>
          <w:szCs w:val="22"/>
        </w:rPr>
        <w:t xml:space="preserve">DS 340W — Peer Review Response</w:t>
      </w:r>
    </w:p>
    <w:p>
      <w:pPr>
        <w:spacing w:after="60" w:before="0" w:line="264"/>
      </w:pPr>
      <w:r>
        <w:rPr>
          <w:rFonts w:ascii="Calibri" w:cs="Calibri" w:eastAsia="Calibri" w:hAnsi="Calibri"/>
          <w:sz w:val="22"/>
          <w:szCs w:val="22"/>
        </w:rPr>
        <w:t xml:space="preserve">Group 65 — Shreyansh Agarwal</w:t>
      </w:r>
    </w:p>
    <w:p>
      <w:pPr>
        <w:spacing w:after="60" w:before="0" w:line="264"/>
      </w:pPr>
      <w:r>
        <w:rPr>
          <w:rFonts w:ascii="Calibri" w:cs="Calibri" w:eastAsia="Calibri" w:hAnsi="Calibri"/>
          <w:sz w:val="22"/>
          <w:szCs w:val="22"/>
        </w:rPr>
        <w:t xml:space="preserve">Parent paper: Khan et al. (2023), PLOS ONE 18(9): e0286362</w:t>
      </w:r>
    </w:p>
    <w:p>
      <w:pPr>
        <w:spacing w:after="200" w:before="0" w:line="264"/>
      </w:pPr>
      <w:r>
        <w:rPr>
          <w:rFonts w:ascii="Calibri" w:cs="Calibri" w:eastAsia="Calibri" w:hAnsi="Calibri"/>
          <w:sz w:val="22"/>
          <w:szCs w:val="22"/>
        </w:rPr>
        <w:t xml:space="preserve">Reviews received: 6. Average score 3.81 / 4. Grade 19.06 / 20.</w:t>
      </w:r>
    </w:p>
    <w:p>
      <w:pPr>
        <w:spacing w:after="100" w:before="280" w:line="264"/>
      </w:pPr>
      <w:r>
        <w:rPr>
          <w:rFonts w:ascii="Calibri" w:cs="Calibri" w:eastAsia="Calibri" w:hAnsi="Calibri"/>
          <w:b/>
          <w:bCs/>
          <w:sz w:val="22"/>
          <w:szCs w:val="22"/>
        </w:rPr>
        <w:t xml:space="preserve">Overall read of the feedback</w:t>
      </w:r>
    </w:p>
    <w:p>
      <w:pPr>
        <w:spacing w:after="120" w:before="0" w:line="264"/>
      </w:pPr>
      <w:r>
        <w:rPr>
          <w:rFonts w:ascii="Calibri" w:cs="Calibri" w:eastAsia="Calibri" w:hAnsi="Calibri"/>
          <w:sz w:val="22"/>
          <w:szCs w:val="22"/>
        </w:rPr>
        <w:t xml:space="preserve">Scores were uniformly high, so the useful signal is in the written comments rather than the numbers. Grouping them by theme instead of by reviewer shows one pattern clearly: the two most-repeated criticisms — the single-stock scope and the data-preparation defects — are both issues raised in the presentation itself. Reviewer 1 lists them as weaknesses and notes "as I previously mentioned," referring to the presentation. Reviewer 2 credits the identification of these problems as a strength and then lists the same problems as weaknesses.</w:t>
      </w:r>
    </w:p>
    <w:p>
      <w:pPr>
        <w:spacing w:after="120" w:before="0" w:line="264"/>
      </w:pPr>
      <w:r>
        <w:rPr>
          <w:rFonts w:ascii="Calibri" w:cs="Calibri" w:eastAsia="Calibri" w:hAnsi="Calibri"/>
          <w:sz w:val="22"/>
          <w:szCs w:val="22"/>
        </w:rPr>
        <w:t xml:space="preserve">The conclusion drawn is that the problems were diagnosed clearly but the planned fixes were not stated with enough commitment to register as answers. The actions below therefore emphasise stating what will be done, not only what is wrong.</w:t>
      </w:r>
    </w:p>
    <w:p>
      <w:pPr>
        <w:spacing w:after="100" w:before="280" w:line="264"/>
      </w:pPr>
      <w:r>
        <w:rPr>
          <w:rFonts w:ascii="Calibri" w:cs="Calibri" w:eastAsia="Calibri" w:hAnsi="Calibri"/>
          <w:b/>
          <w:bCs/>
          <w:sz w:val="22"/>
          <w:szCs w:val="22"/>
        </w:rPr>
        <w:t xml:space="preserve">Comments received and planned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5960"/>
      </w:tblGrid>
      <w:tr>
        <w:tc>
          <w:tcPr>
            <w:tcW w:type="dxa" w:w="25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alibri" w:cs="Calibri" w:eastAsia="Calibri" w:hAnsi="Calibri"/>
                <w:b/>
                <w:bCs/>
                <w:sz w:val="20"/>
                <w:szCs w:val="20"/>
              </w:rPr>
              <w:t xml:space="preserve">Comment</w:t>
            </w:r>
          </w:p>
        </w:tc>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alibri" w:cs="Calibri" w:eastAsia="Calibri" w:hAnsi="Calibri"/>
                <w:b/>
                <w:bCs/>
                <w:sz w:val="20"/>
                <w:szCs w:val="20"/>
              </w:rPr>
              <w:t xml:space="preserve">Rev.</w:t>
            </w:r>
          </w:p>
        </w:tc>
        <w:tc>
          <w:tcPr>
            <w:tcW w:type="dxa" w:w="596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alibri" w:cs="Calibri" w:eastAsia="Calibri" w:hAnsi="Calibri"/>
                <w:b/>
                <w:bCs/>
                <w:sz w:val="20"/>
                <w:szCs w:val="20"/>
              </w:rPr>
              <w:t xml:space="preserve">Planned action</w:t>
            </w:r>
          </w:p>
        </w:tc>
      </w:tr>
      <w:tr>
        <w:tc>
          <w:tcPr>
            <w:tcW w:type="dxa" w:w="25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alibri" w:cs="Calibri" w:eastAsia="Calibri" w:hAnsi="Calibri"/>
                <w:sz w:val="20"/>
                <w:szCs w:val="20"/>
              </w:rPr>
              <w:t xml:space="preserve">Single-stock scope. Results are based only on Tesla, so generalisability to other stocks or market conditions is unknown.</w:t>
            </w:r>
          </w:p>
        </w:tc>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alibri" w:cs="Calibri" w:eastAsia="Calibri" w:hAnsi="Calibri"/>
                <w:sz w:val="20"/>
                <w:szCs w:val="20"/>
              </w:rPr>
              <w:t xml:space="preserve">4</w:t>
            </w:r>
          </w:p>
        </w:tc>
        <w:tc>
          <w:tcPr>
            <w:tcW w:type="dxa" w:w="596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60" w:line="252"/>
            </w:pPr>
            <w:r>
              <w:rPr>
                <w:rFonts w:ascii="Calibri" w:cs="Calibri" w:eastAsia="Calibri" w:hAnsi="Calibri"/>
                <w:sz w:val="20"/>
                <w:szCs w:val="20"/>
              </w:rPr>
              <w:t xml:space="preserve">Extend evaluation beyond TSLA in Phase 2. Test a small basket spanning volatility regimes rather than one high-volatility name, and report results per stock rather than pooled.</w:t>
            </w:r>
          </w:p>
          <w:p>
            <w:pPr>
              <w:spacing w:after="0" w:line="252"/>
            </w:pPr>
            <w:r>
              <w:rPr>
                <w:rFonts w:ascii="Calibri" w:cs="Calibri" w:eastAsia="Calibri" w:hAnsi="Calibri"/>
                <w:sz w:val="20"/>
                <w:szCs w:val="20"/>
              </w:rPr>
              <w:t xml:space="preserve">Add SPY as a benchmark, as suggested by a reviewer. This also supplies the buy-and-hold comparison the parent paper never includes.</w:t>
            </w:r>
          </w:p>
        </w:tc>
      </w:tr>
      <w:tr>
        <w:tc>
          <w:tcPr>
            <w:tcW w:type="dxa" w:w="25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alibri" w:cs="Calibri" w:eastAsia="Calibri" w:hAnsi="Calibri"/>
                <w:sz w:val="20"/>
                <w:szCs w:val="20"/>
              </w:rPr>
              <w:t xml:space="preserve">Data preparation defects. Look-ahead bias in the published code; the Min-Max scaler fitted on training and test data together; Tesla’s stock split not handled.</w:t>
            </w:r>
          </w:p>
        </w:tc>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alibri" w:cs="Calibri" w:eastAsia="Calibri" w:hAnsi="Calibri"/>
                <w:sz w:val="20"/>
                <w:szCs w:val="20"/>
              </w:rPr>
              <w:t xml:space="preserve">3</w:t>
            </w:r>
          </w:p>
        </w:tc>
        <w:tc>
          <w:tcPr>
            <w:tcW w:type="dxa" w:w="596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60" w:line="252"/>
            </w:pPr>
            <w:r>
              <w:rPr>
                <w:rFonts w:ascii="Calibri" w:cs="Calibri" w:eastAsia="Calibri" w:hAnsi="Calibri"/>
                <w:sz w:val="20"/>
                <w:szCs w:val="20"/>
              </w:rPr>
              <w:t xml:space="preserve">These are the basis of the novel approach, not open problems. Features will be built with lagged (.shift(+1)) differences as the paper’s Table 2 specifies, rather than the forward shift in the authors’ code.</w:t>
            </w:r>
          </w:p>
          <w:p>
            <w:pPr>
              <w:spacing w:after="60" w:line="252"/>
            </w:pPr>
            <w:r>
              <w:rPr>
                <w:rFonts w:ascii="Calibri" w:cs="Calibri" w:eastAsia="Calibri" w:hAnsi="Calibri"/>
                <w:sz w:val="20"/>
                <w:szCs w:val="20"/>
              </w:rPr>
              <w:t xml:space="preserve">The scaler will be fitted on training data only.</w:t>
            </w:r>
          </w:p>
          <w:p>
            <w:pPr>
              <w:spacing w:after="60" w:line="252"/>
            </w:pPr>
            <w:r>
              <w:rPr>
                <w:rFonts w:ascii="Calibri" w:cs="Calibri" w:eastAsia="Calibri" w:hAnsi="Calibri"/>
                <w:sz w:val="20"/>
                <w:szCs w:val="20"/>
              </w:rPr>
              <w:t xml:space="preserve">Split-adjusted price columns are already implemented and verified against published annual returns; Tesla’s 5-for-1 split (2020-08-31) falls inside the test window.</w:t>
            </w:r>
          </w:p>
          <w:p>
            <w:pPr>
              <w:spacing w:after="0" w:line="252"/>
            </w:pPr>
            <w:r>
              <w:rPr>
                <w:rFonts w:ascii="Calibri" w:cs="Calibri" w:eastAsia="Calibri" w:hAnsi="Calibri"/>
                <w:sz w:val="20"/>
                <w:szCs w:val="20"/>
              </w:rPr>
              <w:t xml:space="preserve">The corrected and uncorrected versions will both be run so the size of the inflation can be reported as a number.</w:t>
            </w:r>
          </w:p>
        </w:tc>
      </w:tr>
      <w:tr>
        <w:tc>
          <w:tcPr>
            <w:tcW w:type="dxa" w:w="25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alibri" w:cs="Calibri" w:eastAsia="Calibri" w:hAnsi="Calibri"/>
                <w:sz w:val="20"/>
                <w:szCs w:val="20"/>
              </w:rPr>
              <w:t xml:space="preserve">Hyperparameter selection was not explained.</w:t>
            </w:r>
          </w:p>
        </w:tc>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alibri" w:cs="Calibri" w:eastAsia="Calibri" w:hAnsi="Calibri"/>
                <w:sz w:val="20"/>
                <w:szCs w:val="20"/>
              </w:rPr>
              <w:t xml:space="preserve">1</w:t>
            </w:r>
          </w:p>
        </w:tc>
        <w:tc>
          <w:tcPr>
            <w:tcW w:type="dxa" w:w="596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alibri" w:cs="Calibri" w:eastAsia="Calibri" w:hAnsi="Calibri"/>
                <w:sz w:val="20"/>
                <w:szCs w:val="20"/>
              </w:rPr>
              <w:t xml:space="preserve">Add an explicit slide covering model selection: the GridSearchCV search over the parameter grids in the parent paper’s Table 7, and the values selected for each of the nine models.</w:t>
            </w:r>
          </w:p>
        </w:tc>
      </w:tr>
      <w:tr>
        <w:tc>
          <w:tcPr>
            <w:tcW w:type="dxa" w:w="25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alibri" w:cs="Calibri" w:eastAsia="Calibri" w:hAnsi="Calibri"/>
                <w:sz w:val="20"/>
                <w:szCs w:val="20"/>
              </w:rPr>
              <w:t xml:space="preserve">Novelty. Three consecutive stock-prediction presentations were reviewed; the challenge is standing out.</w:t>
            </w:r>
          </w:p>
        </w:tc>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alibri" w:cs="Calibri" w:eastAsia="Calibri" w:hAnsi="Calibri"/>
                <w:sz w:val="20"/>
                <w:szCs w:val="20"/>
              </w:rPr>
              <w:t xml:space="preserve">1</w:t>
            </w:r>
          </w:p>
        </w:tc>
        <w:tc>
          <w:tcPr>
            <w:tcW w:type="dxa" w:w="596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60" w:line="252"/>
            </w:pPr>
            <w:r>
              <w:rPr>
                <w:rFonts w:ascii="Calibri" w:cs="Calibri" w:eastAsia="Calibri" w:hAnsi="Calibri"/>
                <w:sz w:val="20"/>
                <w:szCs w:val="20"/>
              </w:rPr>
              <w:t xml:space="preserve">Reframe the framing slide. The contribution is not another stock predictor: it is a reproducibility audit that quantifies how far a peer-reviewed paper’s own published code departs from its stated method.</w:t>
            </w:r>
          </w:p>
          <w:p>
            <w:pPr>
              <w:spacing w:after="0" w:line="252"/>
            </w:pPr>
            <w:r>
              <w:rPr>
                <w:rFonts w:ascii="Calibri" w:cs="Calibri" w:eastAsia="Calibri" w:hAnsi="Calibri"/>
                <w:sz w:val="20"/>
                <w:szCs w:val="20"/>
              </w:rPr>
              <w:t xml:space="preserve">Lead with that finding rather than with the prediction task.</w:t>
            </w:r>
          </w:p>
        </w:tc>
      </w:tr>
      <w:tr>
        <w:tc>
          <w:tcPr>
            <w:tcW w:type="dxa" w:w="25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alibri" w:cs="Calibri" w:eastAsia="Calibri" w:hAnsi="Calibri"/>
                <w:sz w:val="20"/>
                <w:szCs w:val="20"/>
              </w:rPr>
              <w:t xml:space="preserve">If no single model is best, is the conclusion effective?</w:t>
            </w:r>
          </w:p>
        </w:tc>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alibri" w:cs="Calibri" w:eastAsia="Calibri" w:hAnsi="Calibri"/>
                <w:sz w:val="20"/>
                <w:szCs w:val="20"/>
              </w:rPr>
              <w:t xml:space="preserve">1</w:t>
            </w:r>
          </w:p>
        </w:tc>
        <w:tc>
          <w:tcPr>
            <w:tcW w:type="dxa" w:w="596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alibri" w:cs="Calibri" w:eastAsia="Calibri" w:hAnsi="Calibri"/>
                <w:sz w:val="20"/>
                <w:szCs w:val="20"/>
              </w:rPr>
              <w:t xml:space="preserve">Address directly in the conclusion. "No single best model" is the finding, not a failure to reach one: model ranking changes with the evaluation metric. The conclusion will state a decision rule — optimise cumulative return and Random Forest wins; optimise risk-adjusted return and the neural network wins.</w:t>
            </w:r>
          </w:p>
        </w:tc>
      </w:tr>
      <w:tr>
        <w:tc>
          <w:tcPr>
            <w:tcW w:type="dxa" w:w="25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alibri" w:cs="Calibri" w:eastAsia="Calibri" w:hAnsi="Calibri"/>
                <w:sz w:val="20"/>
                <w:szCs w:val="20"/>
              </w:rPr>
              <w:t xml:space="preserve">Delivery. Speech occasionally mumbled or rushed; presentation ran slightly over time.</w:t>
            </w:r>
          </w:p>
        </w:tc>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alibri" w:cs="Calibri" w:eastAsia="Calibri" w:hAnsi="Calibri"/>
                <w:sz w:val="20"/>
                <w:szCs w:val="20"/>
              </w:rPr>
              <w:t xml:space="preserve">2</w:t>
            </w:r>
          </w:p>
        </w:tc>
        <w:tc>
          <w:tcPr>
            <w:tcW w:type="dxa" w:w="596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60" w:line="252"/>
            </w:pPr>
            <w:r>
              <w:rPr>
                <w:rFonts w:ascii="Calibri" w:cs="Calibri" w:eastAsia="Calibri" w:hAnsi="Calibri"/>
                <w:sz w:val="20"/>
                <w:szCs w:val="20"/>
              </w:rPr>
              <w:t xml:space="preserve">Rehearse to a stopwatch and cut content to fit rather than speeding up.</w:t>
            </w:r>
          </w:p>
          <w:p>
            <w:pPr>
              <w:spacing w:after="60" w:line="252"/>
            </w:pPr>
            <w:r>
              <w:rPr>
                <w:rFonts w:ascii="Calibri" w:cs="Calibri" w:eastAsia="Calibri" w:hAnsi="Calibri"/>
                <w:sz w:val="20"/>
                <w:szCs w:val="20"/>
              </w:rPr>
              <w:t xml:space="preserve">Script the dense passages instead of improvising them.</w:t>
            </w:r>
          </w:p>
          <w:p>
            <w:pPr>
              <w:spacing w:after="0" w:line="252"/>
            </w:pPr>
            <w:r>
              <w:rPr>
                <w:rFonts w:ascii="Calibri" w:cs="Calibri" w:eastAsia="Calibri" w:hAnsi="Calibri"/>
                <w:sz w:val="20"/>
                <w:szCs w:val="20"/>
              </w:rPr>
              <w:t xml:space="preserve">Record a short test pass and check audio levels before recording in full.</w:t>
            </w:r>
          </w:p>
        </w:tc>
      </w:tr>
      <w:tr>
        <w:tc>
          <w:tcPr>
            <w:tcW w:type="dxa" w:w="25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alibri" w:cs="Calibri" w:eastAsia="Calibri" w:hAnsi="Calibri"/>
                <w:sz w:val="20"/>
                <w:szCs w:val="20"/>
              </w:rPr>
              <w:t xml:space="preserve">Slide density. Too much text on some slides, particularly the conclusion, drawing attention away from the speech.</w:t>
            </w:r>
          </w:p>
        </w:tc>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alibri" w:cs="Calibri" w:eastAsia="Calibri" w:hAnsi="Calibri"/>
                <w:sz w:val="20"/>
                <w:szCs w:val="20"/>
              </w:rPr>
              <w:t xml:space="preserve">1</w:t>
            </w:r>
          </w:p>
        </w:tc>
        <w:tc>
          <w:tcPr>
            <w:tcW w:type="dxa" w:w="596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alibri" w:cs="Calibri" w:eastAsia="Calibri" w:hAnsi="Calibri"/>
                <w:sz w:val="20"/>
                <w:szCs w:val="20"/>
              </w:rPr>
              <w:t xml:space="preserve">Cap the conclusion at four short lines and move the detail into the spoken delivery. Apply the same limit to any slide currently carrying full sentences.</w:t>
            </w:r>
          </w:p>
        </w:tc>
      </w:tr>
    </w:tbl>
    <w:p>
      <w:pPr>
        <w:spacing w:after="100" w:before="280" w:line="264"/>
      </w:pPr>
      <w:r>
        <w:rPr>
          <w:rFonts w:ascii="Calibri" w:cs="Calibri" w:eastAsia="Calibri" w:hAnsi="Calibri"/>
          <w:b/>
          <w:bCs/>
          <w:sz w:val="22"/>
          <w:szCs w:val="22"/>
        </w:rPr>
        <w:t xml:space="preserve">Reviewer questions answered</w:t>
      </w:r>
    </w:p>
    <w:p>
      <w:pPr>
        <w:spacing w:after="120" w:before="160" w:line="264"/>
      </w:pPr>
      <w:r>
        <w:rPr>
          <w:rFonts w:ascii="Calibri" w:cs="Calibri" w:eastAsia="Calibri" w:hAnsi="Calibri"/>
          <w:b/>
          <w:bCs/>
          <w:sz w:val="22"/>
          <w:szCs w:val="22"/>
        </w:rPr>
        <w:t xml:space="preserve">Q. Why does the first-15-minute strategy improve all nine models compared with the end-of-day strategy?</w:t>
      </w:r>
    </w:p>
    <w:p>
      <w:pPr>
        <w:spacing w:after="120" w:before="0" w:line="264"/>
      </w:pPr>
      <w:r>
        <w:rPr>
          <w:rFonts w:ascii="Calibri" w:cs="Calibri" w:eastAsia="Calibri" w:hAnsi="Calibri"/>
          <w:sz w:val="22"/>
          <w:szCs w:val="22"/>
        </w:rPr>
        <w:t xml:space="preserve">The parent paper reports this result but does not establish a mechanism, so the following is an interpretation rather than a claim from the paper.</w:t>
      </w:r>
    </w:p>
    <w:p>
      <w:pPr>
        <w:spacing w:after="120" w:before="0" w:line="264"/>
      </w:pPr>
      <w:r>
        <w:rPr>
          <w:rFonts w:ascii="Calibri" w:cs="Calibri" w:eastAsia="Calibri" w:hAnsi="Calibri"/>
          <w:sz w:val="22"/>
          <w:szCs w:val="22"/>
        </w:rPr>
        <w:t xml:space="preserve">The opening window concentrates information. Overnight news, earnings releases and overseas market moves are all absorbed in a short, high-volume period after the open, so the first 15 minutes plausibly carry a denser signal about the day’s direction than an end-of-day price averaged across the whole session.</w:t>
      </w:r>
    </w:p>
    <w:p>
      <w:pPr>
        <w:spacing w:after="120" w:before="0" w:line="264"/>
      </w:pPr>
      <w:r>
        <w:rPr>
          <w:rFonts w:ascii="Calibri" w:cs="Calibri" w:eastAsia="Calibri" w:hAnsi="Calibri"/>
          <w:sz w:val="22"/>
          <w:szCs w:val="22"/>
        </w:rPr>
        <w:t xml:space="preserve">The more informative observation is that every one of the nine models improved. A gain confined to one or two models could be attributed to a particular algorithm suiting the data; a gain across all nine points to the input rather than the algorithm. That is the strongest evidence in the paper that the sampling window, not the model, is doing the work.</w:t>
      </w:r>
    </w:p>
    <w:p>
      <w:pPr>
        <w:spacing w:after="120" w:before="0" w:line="264"/>
      </w:pPr>
      <w:r>
        <w:rPr>
          <w:rFonts w:ascii="Calibri" w:cs="Calibri" w:eastAsia="Calibri" w:hAnsi="Calibri"/>
          <w:sz w:val="22"/>
          <w:szCs w:val="22"/>
        </w:rPr>
        <w:t xml:space="preserve">One caveat: the 15-minute confusion matrices contain a different number of observations from the 1-day matrices (298 against 283, and 311 for the decision tree), and the authors never explain the difference. Part of the improvement could be an artefact of differing sample construction. Verifying this is part of the reproduction.</w:t>
      </w:r>
    </w:p>
    <w:p>
      <w:pPr>
        <w:spacing w:after="120" w:before="200" w:line="264"/>
      </w:pPr>
      <w:r>
        <w:rPr>
          <w:rFonts w:ascii="Calibri" w:cs="Calibri" w:eastAsia="Calibri" w:hAnsi="Calibri"/>
          <w:b/>
          <w:bCs/>
          <w:sz w:val="22"/>
          <w:szCs w:val="22"/>
        </w:rPr>
        <w:t xml:space="preserve">Q. Does the 15-minute strategy still perform well across a larger group of stocks, such as other S&amp;P 500 names, or under different market conditions?</w:t>
      </w:r>
    </w:p>
    <w:p>
      <w:pPr>
        <w:spacing w:after="120" w:before="0" w:line="264"/>
      </w:pPr>
      <w:r>
        <w:rPr>
          <w:rFonts w:ascii="Calibri" w:cs="Calibri" w:eastAsia="Calibri" w:hAnsi="Calibri"/>
          <w:sz w:val="22"/>
          <w:szCs w:val="22"/>
        </w:rPr>
        <w:t xml:space="preserve">Unknown from the parent paper, and there is specific reason to expect the effect to shrink.</w:t>
      </w:r>
    </w:p>
    <w:p>
      <w:pPr>
        <w:spacing w:after="120" w:before="0" w:line="264"/>
      </w:pPr>
      <w:r>
        <w:rPr>
          <w:rFonts w:ascii="Calibri" w:cs="Calibri" w:eastAsia="Calibri" w:hAnsi="Calibri"/>
          <w:sz w:val="22"/>
          <w:szCs w:val="22"/>
        </w:rPr>
        <w:t xml:space="preserve">Tesla between 2016 and 2021 is an extreme case: a 743% return in 2020, a 5-for-1 split inside the test window, and volatility far above the market. High volatility plausibly flatters a directional classifier, because large moves are easier to classify correctly than small ones. A lower-volatility large cap would offer less of that advantage.</w:t>
      </w:r>
    </w:p>
    <w:p>
      <w:pPr>
        <w:spacing w:after="120" w:before="0" w:line="264"/>
      </w:pPr>
      <w:r>
        <w:rPr>
          <w:rFonts w:ascii="Calibri" w:cs="Calibri" w:eastAsia="Calibri" w:hAnsi="Calibri"/>
          <w:sz w:val="22"/>
          <w:szCs w:val="22"/>
        </w:rPr>
        <w:t xml:space="preserve">The plan is to test a small basket chosen to span volatility regimes rather than a large sample, and to report per-stock results so any relationship between volatility and improvement is visible. Including an index such as SPY serves the same purpose and supplies a passive benchmark.</w:t>
      </w:r>
    </w:p>
    <w:sectPr>
      <w:pgSz w:w="12240" w:h="15840" w:orient="portrait"/>
      <w:pgMar w:top="1440" w:right="1180" w:bottom="144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2026-09-22T23:05:02.736Z</dcterms:created>
  <dcterms:modified xsi:type="dcterms:W3CDTF">2026-09-22T23:05:02.747Z</dcterms:modified>
</cp:coreProperties>
</file>

<file path=docProps/custom.xml><?xml version="1.0" encoding="utf-8"?>
<Properties xmlns="http://schemas.openxmlformats.org/officeDocument/2006/custom-properties" xmlns:vt="http://schemas.openxmlformats.org/officeDocument/2006/docPropsVTypes"/>
</file>