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64"/>
      </w:pPr>
      <w:r>
        <w:rPr>
          <w:rFonts w:ascii="Calibri" w:cs="Calibri" w:eastAsia="Calibri" w:hAnsi="Calibri"/>
          <w:sz w:val="22"/>
          <w:szCs w:val="22"/>
        </w:rPr>
        <w:t xml:space="preserve">Group 65 (Shreyansh Agarwal)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ACTIONS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Tesla was tested, so the results may not apply to other stocks or market conditions.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test a small basket of stocks covering different volatility levels.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add SPY as a benchmark and report results for each stock separately.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Look-ahead bias in the published code. The scaler was fitted on training and test data together. The Tesla stock split was not handled.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build the features with lagged values, as the paper specifies.</w:t>
            </w:r>
          </w:p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fit the scaler on training data only.</w:t>
            </w:r>
          </w:p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Split-adjusted prices are already added and verified.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run the corrected and uncorrected versions and report the difference as a number.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Hyperparameter selection was not explained.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add a slide showing the GridSearchCV grids and the values chosen for each of the nine models.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topic lacks novelty. Three stock prediction projects were reviewed in a row.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lead with the reproducibility audit instead of the prediction task.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contribution is measuring how far the published code departs from the paper.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no single model is best, the conclusion may seem unclear.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state a decision rule in the conclusion.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Forest is best for cumulative return. The neural network is best for risk-adjusted return.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Speech was sometimes rushed or unclear. The presentation ran over time.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rehearse with a timer and cut content to fit instead of speaking faster.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script the dense sections and check audio levels before recording.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 much text on some slides, especially the conclusion.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cap the conclusion at four short lines.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 will move the detail into the spoken delivery.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2026-09-22T23:24:55.209Z</dcterms:created>
  <dcterms:modified xsi:type="dcterms:W3CDTF">2026-09-22T23:24:55.218Z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