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9"/>
          <w:sz w:val="52"/>
          <w:szCs w:val="52"/>
        </w:rPr>
        <w:t xml:space="preserve">AI-Powered Criminal Network</w:t>
      </w:r>
    </w:p>
    <w:p>
      <w:pPr>
        <w:spacing w:after="300"/>
        <w:jc w:val="center"/>
      </w:pPr>
      <w:r>
        <w:rPr>
          <w:b/>
          <w:bCs/>
          <w:color w:val="1F4E79"/>
          <w:sz w:val="52"/>
          <w:szCs w:val="52"/>
        </w:rPr>
        <w:t xml:space="preserve">Analysis System</w:t>
      </w:r>
    </w:p>
    <w:p>
      <w:pPr>
        <w:spacing w:after="900"/>
        <w:jc w:val="center"/>
      </w:pPr>
      <w:r>
        <w:rPr>
          <w:b/>
          <w:bCs/>
          <w:color w:val="C55A11"/>
          <w:sz w:val="30"/>
          <w:szCs w:val="30"/>
        </w:rPr>
        <w:t xml:space="preserve">MASTER SOLUTION DOCUMENT</w:t>
      </w:r>
    </w:p>
    <w:p>
      <w:pPr>
        <w:jc w:val="center"/>
      </w:pPr>
      <w:r>
        <w:rPr>
          <w:i/>
          <w:iCs/>
          <w:color w:val="595959"/>
          <w:sz w:val="24"/>
          <w:szCs w:val="24"/>
        </w:rPr>
        <w:t xml:space="preserve">Smart India Hackathon — Problem Statement Solution</w:t>
      </w:r>
    </w:p>
    <w:p>
      <w:pPr>
        <w:spacing w:before="3000"/>
        <w:jc w:val="center"/>
      </w:pPr>
      <w:r>
        <w:rPr>
          <w:color w:val="1A1A1A"/>
          <w:sz w:val="22"/>
          <w:szCs w:val="22"/>
        </w:rPr>
        <w:t xml:space="preserve">Prepared by: Swastik</w:t>
      </w:r>
    </w:p>
    <w:p>
      <w:pPr>
        <w:jc w:val="center"/>
      </w:pPr>
      <w:r>
        <w:rPr>
          <w:color w:val="595959"/>
          <w:sz w:val="20"/>
          <w:szCs w:val="20"/>
        </w:rPr>
        <w:t xml:space="preserve">September 2026</w:t>
      </w:r>
    </w:p>
    <w:p>
      <w:r>
        <w:br w:type="page"/>
      </w:r>
    </w:p>
    <w:p>
      <w:pPr>
        <w:pStyle w:val="Heading1"/>
        <w:pBdr>
          <w:bottom w:val="single" w:color="1F4E79" w:sz="12" w:space="4"/>
        </w:pBdr>
        <w:spacing w:after="160" w:before="360"/>
      </w:pPr>
      <w:r>
        <w:rPr>
          <w:b/>
          <w:bCs/>
          <w:color w:val="1F4E79"/>
          <w:sz w:val="32"/>
          <w:szCs w:val="32"/>
        </w:rPr>
        <w:t xml:space="preserve">1. Problem Statement Understanding</w:t>
      </w:r>
    </w:p>
    <w:p>
      <w:pPr>
        <w:spacing w:after="140"/>
      </w:pPr>
      <w:r>
        <w:rPr>
          <w:sz w:val="21"/>
          <w:szCs w:val="21"/>
        </w:rPr>
        <w:t xml:space="preserve">Law enforcement agencies collect vast volumes of data — FIRs, Call Detail Records (CDRs), financial transactions, surveillance reports, social media intelligence (SOCMINT), criminal history databases, and intelligence agency reports — but this data is fragmented across systems and formats. Manual analysis is slow and frequently misses hidden relationships between suspects, associates, locations, and events.</w:t>
      </w:r>
    </w:p>
    <w:p>
      <w:pPr>
        <w:pBdr>
          <w:left w:val="single" w:color="1F4E79" w:sz="24" w:space="6"/>
        </w:pBdr>
        <w:shd w:fill="DCE6F1" w:val="clear"/>
        <w:spacing w:after="140" w:before="100"/>
        <w:ind w:left="200"/>
      </w:pPr>
      <w:r>
        <w:rPr>
          <w:b/>
          <w:bCs/>
          <w:color w:val="1F4E79"/>
          <w:sz w:val="21"/>
          <w:szCs w:val="21"/>
        </w:rPr>
        <w:t xml:space="preserve">Our objective: </w:t>
      </w:r>
      <w:r>
        <w:rPr>
          <w:sz w:val="21"/>
          <w:szCs w:val="21"/>
        </w:rPr>
        <w:t xml:space="preserve">Build an AI-powered system that ingests this fragmented, multi-source data, automatically extracts entities and relationships, constructs a live criminal network graph, identifies key influencers, detects suspicious patterns, and gives investigators an explainable, evidence-traceable intelligence layer.</w:t>
      </w:r>
    </w:p>
    <w:p>
      <w:pPr>
        <w:pBdr>
          <w:left w:val="single" w:color="C55A11" w:sz="24" w:space="6"/>
        </w:pBdr>
        <w:shd w:fill="FBE5D6" w:val="clear"/>
        <w:spacing w:after="140" w:before="100"/>
        <w:ind w:left="200"/>
      </w:pPr>
      <w:r>
        <w:rPr>
          <w:b/>
          <w:bCs/>
          <w:color w:val="C55A11"/>
          <w:sz w:val="21"/>
          <w:szCs w:val="21"/>
        </w:rPr>
        <w:t xml:space="preserve">Core thesis: </w:t>
      </w:r>
      <w:r>
        <w:rPr>
          <w:i/>
          <w:iCs/>
          <w:sz w:val="21"/>
          <w:szCs w:val="21"/>
        </w:rPr>
        <w:t xml:space="preserve">“Investigators solve cases one file at a time. Criminals operate across files. Our system is the first place where those files talk to each other” — while still giving each investigator the familiar, case-centric workflow they already know.</w:t>
      </w:r>
    </w:p>
    <w:p>
      <w:pPr>
        <w:pStyle w:val="Heading1"/>
        <w:pBdr>
          <w:bottom w:val="single" w:color="1F4E79" w:sz="12" w:space="4"/>
        </w:pBdr>
        <w:spacing w:after="160" w:before="360"/>
      </w:pPr>
      <w:r>
        <w:rPr>
          <w:b/>
          <w:bCs/>
          <w:color w:val="1F4E79"/>
          <w:sz w:val="32"/>
          <w:szCs w:val="32"/>
        </w:rPr>
        <w:t xml:space="preserve">2. Solution Overview</w:t>
      </w:r>
    </w:p>
    <w:p>
      <w:pPr>
        <w:spacing w:after="140"/>
      </w:pPr>
      <w:r>
        <w:rPr>
          <w:sz w:val="21"/>
          <w:szCs w:val="21"/>
        </w:rPr>
        <w:t xml:space="preserve">The system operates at two levels simultaneously:</w:t>
      </w:r>
    </w:p>
    <w:p>
      <w:pPr>
        <w:pStyle w:val="ListParagraph"/>
        <w:numPr>
          <w:ilvl w:val="0"/>
          <w:numId w:val="1"/>
        </w:numPr>
        <w:spacing w:after="80"/>
      </w:pPr>
      <w:r>
        <w:rPr>
          <w:sz w:val="21"/>
          <w:szCs w:val="21"/>
        </w:rPr>
        <w:t xml:space="preserve">Case level — a familiar, investigator-friendly workspace: create a case, upload documents, build a victim/suspect profile, explore an interactive graph, follow a timeline, manage evidence, review interrogations.</w:t>
      </w:r>
    </w:p>
    <w:p>
      <w:pPr>
        <w:pStyle w:val="ListParagraph"/>
        <w:numPr>
          <w:ilvl w:val="0"/>
          <w:numId w:val="1"/>
        </w:numPr>
        <w:spacing w:after="80"/>
      </w:pPr>
      <w:r>
        <w:rPr>
          <w:sz w:val="21"/>
          <w:szCs w:val="21"/>
        </w:rPr>
        <w:t xml:space="preserve">Network level — every entity an investigator touches (a phone number, a vehicle, a name, a bank account) is silently cross-checked against the entire dataset — other cases, other agencies' records, historical data — surfacing hidden connections, ranking key influencers, and flagging suspicious patterns.</w:t>
      </w:r>
    </w:p>
    <w:p>
      <w:pPr>
        <w:spacing w:after="140"/>
      </w:pPr>
      <w:r>
        <w:rPr>
          <w:sz w:val="21"/>
          <w:szCs w:val="21"/>
        </w:rPr>
        <w:t xml:space="preserve">This dual-level design is what closes the gap between “a good case management tool” and “an actual criminal network intelligence system,” which is what the PS asks for.</w:t>
      </w:r>
    </w:p>
    <w:p>
      <w:pPr>
        <w:pStyle w:val="Heading1"/>
        <w:pBdr>
          <w:bottom w:val="single" w:color="2E74B5" w:sz="12" w:space="4"/>
        </w:pBdr>
        <w:spacing w:after="160" w:before="360"/>
      </w:pPr>
      <w:r>
        <w:rPr>
          <w:b/>
          <w:bCs/>
          <w:color w:val="2E74B5"/>
          <w:sz w:val="32"/>
          <w:szCs w:val="32"/>
        </w:rPr>
        <w:t xml:space="preserve">3. Complete Solution Flow</w:t>
      </w:r>
    </w:p>
    <w:p>
      <w:pPr>
        <w:spacing w:after="100" w:before="240"/>
      </w:pPr>
      <w:r>
        <w:rPr>
          <w:b/>
          <w:bCs/>
          <w:color w:val="2E74B5"/>
          <w:sz w:val="24"/>
          <w:szCs w:val="24"/>
        </w:rPr>
        <w:t xml:space="preserve">3.1  </w:t>
      </w:r>
      <w:r>
        <w:rPr>
          <w:b/>
          <w:bCs/>
          <w:color w:val="2E74B5"/>
          <w:sz w:val="24"/>
          <w:szCs w:val="24"/>
        </w:rPr>
        <w:t xml:space="preserve">Login &amp; Authentication</w:t>
      </w:r>
    </w:p>
    <w:p>
      <w:pPr>
        <w:spacing w:after="140"/>
      </w:pPr>
      <w:r>
        <w:rPr>
          <w:sz w:val="21"/>
          <w:szCs w:val="21"/>
        </w:rPr>
        <w:t xml:space="preserve">Secure login supporting UKS-based and existing government authentication mechanisms.</w:t>
      </w:r>
    </w:p>
    <w:p>
      <w:pPr>
        <w:pStyle w:val="ListParagraph"/>
        <w:numPr>
          <w:ilvl w:val="0"/>
          <w:numId w:val="1"/>
        </w:numPr>
        <w:spacing w:after="80"/>
      </w:pPr>
      <w:r>
        <w:rPr>
          <w:sz w:val="21"/>
          <w:szCs w:val="21"/>
        </w:rPr>
        <w:t xml:space="preserve">Role-based access: investigator, police officer, forensic officer, supervisor/reviewer, auditor</w:t>
      </w:r>
    </w:p>
    <w:p>
      <w:pPr>
        <w:pStyle w:val="ListParagraph"/>
        <w:numPr>
          <w:ilvl w:val="0"/>
          <w:numId w:val="1"/>
        </w:numPr>
        <w:spacing w:after="80"/>
      </w:pPr>
      <w:r>
        <w:rPr>
          <w:sz w:val="21"/>
          <w:szCs w:val="21"/>
        </w:rPr>
        <w:t xml:space="preserve">Every login and action logged for chain-of-custody and audit purposes</w:t>
      </w:r>
    </w:p>
    <w:p>
      <w:pPr>
        <w:pStyle w:val="ListParagraph"/>
        <w:numPr>
          <w:ilvl w:val="0"/>
          <w:numId w:val="1"/>
        </w:numPr>
        <w:spacing w:after="80"/>
      </w:pPr>
      <w:r>
        <w:rPr>
          <w:sz w:val="21"/>
          <w:szCs w:val="21"/>
        </w:rPr>
        <w:t xml:space="preserve">Redirect to Case Management Dashboard on success</w:t>
      </w:r>
    </w:p>
    <w:p>
      <w:pPr>
        <w:spacing w:after="100" w:before="240"/>
      </w:pPr>
      <w:r>
        <w:rPr>
          <w:b/>
          <w:bCs/>
          <w:color w:val="2E74B5"/>
          <w:sz w:val="24"/>
          <w:szCs w:val="24"/>
        </w:rPr>
        <w:t xml:space="preserve">3.2  </w:t>
      </w:r>
      <w:r>
        <w:rPr>
          <w:b/>
          <w:bCs/>
          <w:color w:val="2E74B5"/>
          <w:sz w:val="24"/>
          <w:szCs w:val="24"/>
        </w:rPr>
        <w:t xml:space="preserve">Case Creation &amp; Victim Information</w:t>
      </w:r>
    </w:p>
    <w:p>
      <w:pPr>
        <w:spacing w:after="140"/>
      </w:pPr>
      <w:r>
        <w:rPr>
          <w:sz w:val="21"/>
          <w:szCs w:val="21"/>
        </w:rPr>
        <w:t xml:space="preserve">Investigator creates a case and uploads initial documents: FIR, complaint/report, victim ID (Aadhaar), photographs, other case documents.</w:t>
      </w:r>
    </w:p>
    <w:p>
      <w:pPr>
        <w:spacing w:after="140"/>
      </w:pPr>
      <w:r>
        <w:rPr>
          <w:sz w:val="21"/>
          <w:szCs w:val="21"/>
        </w:rPr>
        <w:t xml:space="preserve">OCR + AI-based document extraction auto-populates structured fields from scanned/unstructured documents, which then auto-populate the Victim Profile and initial case context.</w:t>
      </w:r>
    </w:p>
    <w:p>
      <w:pPr>
        <w:spacing w:after="100" w:before="240"/>
      </w:pPr>
      <w:r>
        <w:rPr>
          <w:b/>
          <w:bCs/>
          <w:color w:val="2E74B5"/>
          <w:sz w:val="24"/>
          <w:szCs w:val="24"/>
        </w:rPr>
        <w:t xml:space="preserve">3.3  </w:t>
      </w:r>
      <w:r>
        <w:rPr>
          <w:b/>
          <w:bCs/>
          <w:color w:val="2E74B5"/>
          <w:sz w:val="24"/>
          <w:szCs w:val="24"/>
        </w:rPr>
        <w:t xml:space="preserve">Victim Profile</w:t>
      </w:r>
    </w:p>
    <w:p>
      <w:pPr>
        <w:spacing w:after="140"/>
      </w:pPr>
      <w:r>
        <w:rPr>
          <w:sz w:val="21"/>
          <w:szCs w:val="21"/>
        </w:rPr>
        <w:t xml:space="preserve">Structured profile including name, identity details, contact info, address, family information, background, FIR details, and linked documents. Serves as the root node of the case's investigation graph.</w:t>
      </w:r>
    </w:p>
    <w:p>
      <w:pPr>
        <w:spacing w:after="100" w:before="240"/>
      </w:pPr>
      <w:r>
        <w:rPr>
          <w:b/>
          <w:bCs/>
          <w:color w:val="2E74B5"/>
          <w:sz w:val="24"/>
          <w:szCs w:val="24"/>
        </w:rPr>
        <w:t xml:space="preserve">3.4  </w:t>
      </w:r>
      <w:r>
        <w:rPr>
          <w:b/>
          <w:bCs/>
          <w:color w:val="2E74B5"/>
          <w:sz w:val="24"/>
          <w:szCs w:val="24"/>
        </w:rPr>
        <w:t xml:space="preserve">Suspect Identification &amp; Addition</w:t>
      </w:r>
    </w:p>
    <w:p>
      <w:pPr>
        <w:spacing w:after="140"/>
      </w:pPr>
      <w:r>
        <w:rPr>
          <w:sz w:val="21"/>
          <w:szCs w:val="21"/>
        </w:rPr>
        <w:t xml:space="preserve">Investigator adds suspects with available data: name, contact, address, ID details, vehicle info, SIM/mobile number, known associates, family connections, other evidence.</w:t>
      </w:r>
    </w:p>
    <w:p>
      <w:pPr>
        <w:pBdr>
          <w:left w:val="single" w:color="548235" w:sz="24" w:space="6"/>
        </w:pBdr>
        <w:shd w:fill="E2EFDA" w:val="clear"/>
        <w:spacing w:after="140" w:before="60"/>
        <w:ind w:left="200"/>
      </w:pPr>
      <w:r>
        <w:rPr>
          <w:b/>
          <w:bCs/>
          <w:color w:val="548235"/>
          <w:sz w:val="20"/>
          <w:szCs w:val="20"/>
        </w:rPr>
        <w:t xml:space="preserve">GAP-CLOSING ADDITION: </w:t>
      </w:r>
      <w:r>
        <w:rPr>
          <w:i/>
          <w:iCs/>
          <w:color w:val="375623"/>
          <w:sz w:val="20"/>
          <w:szCs w:val="20"/>
        </w:rPr>
        <w:t xml:space="preserve">Entity Resolution Layer — before a new suspect/entity is added as a fresh node, the system runs fuzzy matching (name variants, phone number, ID number, vehicle number as anchor keys) against all existing entities in the network, preventing duplicate disconnected nodes for the same person.</w:t>
      </w:r>
    </w:p>
    <w:p>
      <w:pPr>
        <w:spacing w:after="100" w:before="240"/>
      </w:pPr>
      <w:r>
        <w:rPr>
          <w:b/>
          <w:bCs/>
          <w:color w:val="2E74B5"/>
          <w:sz w:val="24"/>
          <w:szCs w:val="24"/>
        </w:rPr>
        <w:t xml:space="preserve">3.5  </w:t>
      </w:r>
      <w:r>
        <w:rPr>
          <w:b/>
          <w:bCs/>
          <w:color w:val="2E74B5"/>
          <w:sz w:val="24"/>
          <w:szCs w:val="24"/>
        </w:rPr>
        <w:t xml:space="preserve">AI-Powered Investigation Graph</w:t>
      </w:r>
    </w:p>
    <w:p>
      <w:pPr>
        <w:spacing w:after="140"/>
      </w:pPr>
      <w:r>
        <w:rPr>
          <w:sz w:val="21"/>
          <w:szCs w:val="21"/>
        </w:rPr>
        <w:t xml:space="preserve">Interactive graph representing relationships between victim, suspects, witnesses, family, associates, phone numbers, SIM cards, vehicles, locations, call records, documents, evidence, crime scenes, interrogations, and forensic findings — each entity a node, each relationship an edge.</w:t>
      </w:r>
    </w:p>
    <w:p>
      <w:pPr>
        <w:pBdr>
          <w:left w:val="single" w:color="548235" w:sz="24" w:space="6"/>
        </w:pBdr>
        <w:shd w:fill="E2EFDA" w:val="clear"/>
        <w:spacing w:after="140" w:before="60"/>
        <w:ind w:left="200"/>
      </w:pPr>
      <w:r>
        <w:rPr>
          <w:b/>
          <w:bCs/>
          <w:color w:val="548235"/>
          <w:sz w:val="20"/>
          <w:szCs w:val="20"/>
        </w:rPr>
        <w:t xml:space="preserve">GAP-CLOSING ADDITION: </w:t>
      </w:r>
      <w:r>
        <w:rPr>
          <w:i/>
          <w:iCs/>
          <w:color w:val="375623"/>
          <w:sz w:val="20"/>
          <w:szCs w:val="20"/>
        </w:rPr>
        <w:t xml:space="preserve">Bulk multi-source ingestion feeding the same graph — CDR module (bulk call records → call-frequency edges), Financial transaction module (bulk bank records → transaction edges, structuring/smurfing flags), SOCMINT module (social media entities/relationships), and Criminal history &amp; intelligence DB connectors (prior-case and inter-agency records). This turns the graph from a single-case artifact into a live extract of the full network.</w:t>
      </w:r>
    </w:p>
    <w:p>
      <w:pPr>
        <w:spacing w:after="100" w:before="240"/>
      </w:pPr>
      <w:r>
        <w:rPr>
          <w:b/>
          <w:bCs/>
          <w:color w:val="2E74B5"/>
          <w:sz w:val="24"/>
          <w:szCs w:val="24"/>
        </w:rPr>
        <w:t xml:space="preserve">3.6  </w:t>
      </w:r>
      <w:r>
        <w:rPr>
          <w:b/>
          <w:bCs/>
          <w:color w:val="2E74B5"/>
          <w:sz w:val="24"/>
          <w:szCs w:val="24"/>
        </w:rPr>
        <w:t xml:space="preserve">AI-Based Data Enrichment</w:t>
      </w:r>
    </w:p>
    <w:p>
      <w:pPr>
        <w:spacing w:after="140"/>
      </w:pPr>
      <w:r>
        <w:rPr>
          <w:sz w:val="21"/>
          <w:szCs w:val="21"/>
        </w:rPr>
        <w:t xml:space="preserve">For any entity (vehicle number, SIM, address, person), the system surfaces available historical information — registration history, previous owners, prior associations — from connected databases, subject to authorization and legal data-access restrictions.</w:t>
      </w:r>
    </w:p>
    <w:p>
      <w:pPr>
        <w:spacing w:after="100" w:before="240"/>
      </w:pPr>
      <w:r>
        <w:rPr>
          <w:b/>
          <w:bCs/>
          <w:color w:val="2E74B5"/>
          <w:sz w:val="24"/>
          <w:szCs w:val="24"/>
        </w:rPr>
        <w:t xml:space="preserve">3.7  </w:t>
      </w:r>
      <w:r>
        <w:rPr>
          <w:b/>
          <w:bCs/>
          <w:color w:val="2E74B5"/>
          <w:sz w:val="24"/>
          <w:szCs w:val="24"/>
        </w:rPr>
        <w:t xml:space="preserve">Key Influencer &amp; Network Analytics Engine</w:t>
      </w:r>
    </w:p>
    <w:p>
      <w:pPr>
        <w:spacing w:after="140"/>
      </w:pPr>
      <w:r>
        <w:rPr>
          <w:sz w:val="21"/>
          <w:szCs w:val="21"/>
        </w:rPr>
        <w:t xml:space="preserve">Runs graph analytics on the live network to surface:</w:t>
      </w:r>
    </w:p>
    <w:p>
      <w:pPr>
        <w:pStyle w:val="ListParagraph"/>
        <w:numPr>
          <w:ilvl w:val="0"/>
          <w:numId w:val="1"/>
        </w:numPr>
        <w:spacing w:after="80"/>
      </w:pPr>
      <w:r>
        <w:rPr>
          <w:sz w:val="21"/>
          <w:szCs w:val="21"/>
        </w:rPr>
        <w:t xml:space="preserve">Degree centrality — most directly connected individuals (active hubs)</w:t>
      </w:r>
    </w:p>
    <w:p>
      <w:pPr>
        <w:pStyle w:val="ListParagraph"/>
        <w:numPr>
          <w:ilvl w:val="0"/>
          <w:numId w:val="1"/>
        </w:numPr>
        <w:spacing w:after="80"/>
      </w:pPr>
      <w:r>
        <w:rPr>
          <w:sz w:val="21"/>
          <w:szCs w:val="21"/>
        </w:rPr>
        <w:t xml:space="preserve">Betweenness centrality — the “bridge” individuals connecting otherwise separate clusters (often the real financier/middleman)</w:t>
      </w:r>
    </w:p>
    <w:p>
      <w:pPr>
        <w:pStyle w:val="ListParagraph"/>
        <w:numPr>
          <w:ilvl w:val="0"/>
          <w:numId w:val="1"/>
        </w:numPr>
        <w:spacing w:after="80"/>
      </w:pPr>
      <w:r>
        <w:rPr>
          <w:sz w:val="21"/>
          <w:szCs w:val="21"/>
        </w:rPr>
        <w:t xml:space="preserve">PageRank-style scoring — individuals connected to other important individuals</w:t>
      </w:r>
    </w:p>
    <w:p>
      <w:pPr>
        <w:pStyle w:val="ListParagraph"/>
        <w:numPr>
          <w:ilvl w:val="0"/>
          <w:numId w:val="1"/>
        </w:numPr>
        <w:spacing w:after="80"/>
      </w:pPr>
      <w:r>
        <w:rPr>
          <w:sz w:val="21"/>
          <w:szCs w:val="21"/>
        </w:rPr>
        <w:t xml:space="preserve">Community/cluster detection — automatically groups the network into sub-cells or gangs</w:t>
      </w:r>
    </w:p>
    <w:p>
      <w:pPr>
        <w:spacing w:after="140"/>
      </w:pPr>
      <w:r>
        <w:rPr>
          <w:sz w:val="21"/>
          <w:szCs w:val="21"/>
        </w:rPr>
        <w:t xml:space="preserve">Results are shown as a ranked “Key Individuals” panel alongside the graph, with the reasoning attached (e.g., “This person bridges Cluster A and Cluster B — potential intermediary”).</w:t>
      </w:r>
    </w:p>
    <w:p>
      <w:pPr>
        <w:pBdr>
          <w:left w:val="single" w:color="548235" w:sz="24" w:space="6"/>
        </w:pBdr>
        <w:shd w:fill="E2EFDA" w:val="clear"/>
        <w:spacing w:after="140" w:before="60"/>
        <w:ind w:left="200"/>
      </w:pPr>
      <w:r>
        <w:rPr>
          <w:b/>
          <w:bCs/>
          <w:color w:val="548235"/>
          <w:sz w:val="20"/>
          <w:szCs w:val="20"/>
        </w:rPr>
        <w:t xml:space="preserve">GAP-CLOSING ADDITION: </w:t>
      </w:r>
      <w:r>
        <w:rPr>
          <w:i/>
          <w:iCs/>
          <w:color w:val="375623"/>
          <w:sz w:val="20"/>
          <w:szCs w:val="20"/>
        </w:rPr>
        <w:t xml:space="preserve">Core PS requirement — “identify key individuals who play influential roles” is fully addressed by this dedicated engine.</w:t>
      </w:r>
    </w:p>
    <w:p>
      <w:pPr>
        <w:spacing w:after="100" w:before="240"/>
      </w:pPr>
      <w:r>
        <w:rPr>
          <w:b/>
          <w:bCs/>
          <w:color w:val="2E74B5"/>
          <w:sz w:val="24"/>
          <w:szCs w:val="24"/>
        </w:rPr>
        <w:t xml:space="preserve">3.8  </w:t>
      </w:r>
      <w:r>
        <w:rPr>
          <w:b/>
          <w:bCs/>
          <w:color w:val="2E74B5"/>
          <w:sz w:val="24"/>
          <w:szCs w:val="24"/>
        </w:rPr>
        <w:t xml:space="preserve">Suspicious Pattern &amp; Anomaly Detection</w:t>
      </w:r>
    </w:p>
    <w:p>
      <w:pPr>
        <w:spacing w:after="140"/>
      </w:pPr>
      <w:r>
        <w:rPr>
          <w:sz w:val="21"/>
          <w:szCs w:val="21"/>
        </w:rPr>
        <w:t xml:space="preserve">Concrete, named detectors running continuously across the network:</w:t>
      </w:r>
    </w:p>
    <w:p>
      <w:pPr>
        <w:pStyle w:val="ListParagraph"/>
        <w:numPr>
          <w:ilvl w:val="0"/>
          <w:numId w:val="1"/>
        </w:numPr>
        <w:spacing w:after="80"/>
      </w:pPr>
      <w:r>
        <w:rPr>
          <w:sz w:val="21"/>
          <w:szCs w:val="21"/>
        </w:rPr>
        <w:t xml:space="preserve">Transaction structuring (multiple sub-threshold transfers to avoid reporting limits)</w:t>
      </w:r>
    </w:p>
    <w:p>
      <w:pPr>
        <w:pStyle w:val="ListParagraph"/>
        <w:numPr>
          <w:ilvl w:val="0"/>
          <w:numId w:val="1"/>
        </w:numPr>
        <w:spacing w:after="80"/>
      </w:pPr>
      <w:r>
        <w:rPr>
          <w:sz w:val="21"/>
          <w:szCs w:val="21"/>
        </w:rPr>
        <w:t xml:space="preserve">Call-burst-before-incident (sudden spike in contact frequency around a crime date)</w:t>
      </w:r>
    </w:p>
    <w:p>
      <w:pPr>
        <w:pStyle w:val="ListParagraph"/>
        <w:numPr>
          <w:ilvl w:val="0"/>
          <w:numId w:val="1"/>
        </w:numPr>
        <w:spacing w:after="80"/>
      </w:pPr>
      <w:r>
        <w:rPr>
          <w:sz w:val="21"/>
          <w:szCs w:val="21"/>
        </w:rPr>
        <w:t xml:space="preserve">Co-location anomaly (two entities repeatedly at the same location/tower at unusual times)</w:t>
      </w:r>
    </w:p>
    <w:p>
      <w:pPr>
        <w:pStyle w:val="ListParagraph"/>
        <w:numPr>
          <w:ilvl w:val="0"/>
          <w:numId w:val="1"/>
        </w:numPr>
        <w:spacing w:after="80"/>
      </w:pPr>
      <w:r>
        <w:rPr>
          <w:sz w:val="21"/>
          <w:szCs w:val="21"/>
        </w:rPr>
        <w:t xml:space="preserve">Dormant-reactivation (a phone/account inactive for months suddenly active)</w:t>
      </w:r>
    </w:p>
    <w:p>
      <w:pPr>
        <w:pStyle w:val="ListParagraph"/>
        <w:numPr>
          <w:ilvl w:val="0"/>
          <w:numId w:val="1"/>
        </w:numPr>
        <w:spacing w:after="80"/>
      </w:pPr>
      <w:r>
        <w:rPr>
          <w:sz w:val="21"/>
          <w:szCs w:val="21"/>
        </w:rPr>
        <w:t xml:space="preserve">New-edge alert (a previously unconnected entity suddenly bridges two known clusters)</w:t>
      </w:r>
    </w:p>
    <w:p>
      <w:pPr>
        <w:pBdr>
          <w:left w:val="single" w:color="548235" w:sz="24" w:space="6"/>
        </w:pBdr>
        <w:shd w:fill="E2EFDA" w:val="clear"/>
        <w:spacing w:after="140" w:before="60"/>
        <w:ind w:left="200"/>
      </w:pPr>
      <w:r>
        <w:rPr>
          <w:b/>
          <w:bCs/>
          <w:color w:val="548235"/>
          <w:sz w:val="20"/>
          <w:szCs w:val="20"/>
        </w:rPr>
        <w:t xml:space="preserve">GAP-CLOSING ADDITION: </w:t>
      </w:r>
      <w:r>
        <w:rPr>
          <w:i/>
          <w:iCs/>
          <w:color w:val="375623"/>
          <w:sz w:val="20"/>
          <w:szCs w:val="20"/>
        </w:rPr>
        <w:t xml:space="preserve">Core PS requirement — each flagged pattern is attached to the relevant node/edge as an explainable alert, not a black-box score.</w:t>
      </w:r>
    </w:p>
    <w:p>
      <w:pPr>
        <w:spacing w:after="100" w:before="240"/>
      </w:pPr>
      <w:r>
        <w:rPr>
          <w:b/>
          <w:bCs/>
          <w:color w:val="2E74B5"/>
          <w:sz w:val="24"/>
          <w:szCs w:val="24"/>
        </w:rPr>
        <w:t xml:space="preserve">3.9  </w:t>
      </w:r>
      <w:r>
        <w:rPr>
          <w:b/>
          <w:bCs/>
          <w:color w:val="2E74B5"/>
          <w:sz w:val="24"/>
          <w:szCs w:val="24"/>
        </w:rPr>
        <w:t xml:space="preserve">AI-Generated Investigation Notes</w:t>
      </w:r>
    </w:p>
    <w:p>
      <w:pPr>
        <w:spacing w:after="140"/>
      </w:pPr>
      <w:r>
        <w:rPr>
          <w:sz w:val="21"/>
          <w:szCs w:val="21"/>
        </w:rPr>
        <w:t xml:space="preserve">The system automatically generates plain-language observations (e.g., “Person Y appears in multiple records connected to Suspect A and Location B”), attached to the relevant entity/relationship. Investigators can add their own notes alongside.</w:t>
      </w:r>
    </w:p>
    <w:p>
      <w:pPr>
        <w:spacing w:after="100" w:before="240"/>
      </w:pPr>
      <w:r>
        <w:rPr>
          <w:b/>
          <w:bCs/>
          <w:color w:val="2E74B5"/>
          <w:sz w:val="24"/>
          <w:szCs w:val="24"/>
        </w:rPr>
        <w:t xml:space="preserve">3.10  </w:t>
      </w:r>
      <w:r>
        <w:rPr>
          <w:b/>
          <w:bCs/>
          <w:color w:val="2E74B5"/>
          <w:sz w:val="24"/>
          <w:szCs w:val="24"/>
        </w:rPr>
        <w:t xml:space="preserve">Note-Based Graph Expansion</w:t>
      </w:r>
    </w:p>
    <w:p>
      <w:pPr>
        <w:spacing w:after="140"/>
      </w:pPr>
      <w:r>
        <w:rPr>
          <w:sz w:val="21"/>
          <w:szCs w:val="21"/>
        </w:rPr>
        <w:t xml:space="preserve">Clicking any note or entity expands the graph to reveal newly connected entities — a recursive investigation workflow where every discovery can lead to the next. This is one of the platform's strongest, most investigator-native UX features.</w:t>
      </w:r>
    </w:p>
    <w:p>
      <w:pPr>
        <w:spacing w:after="100" w:before="240"/>
      </w:pPr>
      <w:r>
        <w:rPr>
          <w:b/>
          <w:bCs/>
          <w:color w:val="2E74B5"/>
          <w:sz w:val="24"/>
          <w:szCs w:val="24"/>
        </w:rPr>
        <w:t xml:space="preserve">3.11  </w:t>
      </w:r>
      <w:r>
        <w:rPr>
          <w:b/>
          <w:bCs/>
          <w:color w:val="2E74B5"/>
          <w:sz w:val="24"/>
          <w:szCs w:val="24"/>
        </w:rPr>
        <w:t xml:space="preserve">Cross-Case Query</w:t>
      </w:r>
    </w:p>
    <w:p>
      <w:pPr>
        <w:spacing w:after="140"/>
      </w:pPr>
      <w:r>
        <w:rPr>
          <w:sz w:val="21"/>
          <w:szCs w:val="21"/>
        </w:rPr>
        <w:t xml:space="preserve">A dedicated search: “Show all cases where entity X (person/phone/vehicle/account) appears.” This is what actually delivers on “uncovering hidden criminal networks” rather than just visualizing one case.</w:t>
      </w:r>
    </w:p>
    <w:p>
      <w:pPr>
        <w:pBdr>
          <w:left w:val="single" w:color="548235" w:sz="24" w:space="6"/>
        </w:pBdr>
        <w:shd w:fill="E2EFDA" w:val="clear"/>
        <w:spacing w:after="140" w:before="60"/>
        <w:ind w:left="200"/>
      </w:pPr>
      <w:r>
        <w:rPr>
          <w:b/>
          <w:bCs/>
          <w:color w:val="548235"/>
          <w:sz w:val="20"/>
          <w:szCs w:val="20"/>
        </w:rPr>
        <w:t xml:space="preserve">GAP-CLOSING ADDITION: </w:t>
      </w:r>
      <w:r>
        <w:rPr>
          <w:i/>
          <w:iCs/>
          <w:color w:val="375623"/>
          <w:sz w:val="20"/>
          <w:szCs w:val="20"/>
        </w:rPr>
        <w:t xml:space="preserve">Moved from “future roadmap” to a core, demoable feature — a person who's never a named suspect anywhere but appears as a peripheral contact in five separate cases is exactly the kind of hidden connection the PS asks the system to surface.</w:t>
      </w:r>
    </w:p>
    <w:p>
      <w:pPr>
        <w:spacing w:after="100" w:before="240"/>
      </w:pPr>
      <w:r>
        <w:rPr>
          <w:b/>
          <w:bCs/>
          <w:color w:val="2E74B5"/>
          <w:sz w:val="24"/>
          <w:szCs w:val="24"/>
        </w:rPr>
        <w:t xml:space="preserve">3.12  </w:t>
      </w:r>
      <w:r>
        <w:rPr>
          <w:b/>
          <w:bCs/>
          <w:color w:val="2E74B5"/>
          <w:sz w:val="24"/>
          <w:szCs w:val="24"/>
        </w:rPr>
        <w:t xml:space="preserve">Timeline-Based Investigation</w:t>
      </w:r>
    </w:p>
    <w:p>
      <w:pPr>
        <w:spacing w:after="140"/>
      </w:pPr>
      <w:r>
        <w:rPr>
          <w:sz w:val="21"/>
          <w:szCs w:val="21"/>
        </w:rPr>
        <w:t xml:space="preserve">Chronological view of all case events: crime occurrence, victim/suspect movements, phone activity, vehicle activity, location records, CCTV events, witness statements, interrogations, evidence collection, forensic reports, document uploads. Cross-linked with the graph so any node can be viewed on the timeline and vice versa.</w:t>
      </w:r>
    </w:p>
    <w:p>
      <w:pPr>
        <w:spacing w:after="100" w:before="240"/>
      </w:pPr>
      <w:r>
        <w:rPr>
          <w:b/>
          <w:bCs/>
          <w:color w:val="2E74B5"/>
          <w:sz w:val="24"/>
          <w:szCs w:val="24"/>
        </w:rPr>
        <w:t xml:space="preserve">3.13  </w:t>
      </w:r>
      <w:r>
        <w:rPr>
          <w:b/>
          <w:bCs/>
          <w:color w:val="2E74B5"/>
          <w:sz w:val="24"/>
          <w:szCs w:val="24"/>
        </w:rPr>
        <w:t xml:space="preserve">Crime Scene &amp; Evidence Management</w:t>
      </w:r>
    </w:p>
    <w:p>
      <w:pPr>
        <w:spacing w:after="140"/>
      </w:pPr>
      <w:r>
        <w:rPr>
          <w:sz w:val="21"/>
          <w:szCs w:val="21"/>
        </w:rPr>
        <w:t xml:space="preserve">Upload and manage crime scene photos, videos, forensic reports, and other evidence, each linkable to a specific location, person, event, or timeline entry.</w:t>
      </w:r>
    </w:p>
    <w:p>
      <w:pPr>
        <w:spacing w:after="100" w:before="240"/>
      </w:pPr>
      <w:r>
        <w:rPr>
          <w:b/>
          <w:bCs/>
          <w:color w:val="2E74B5"/>
          <w:sz w:val="24"/>
          <w:szCs w:val="24"/>
        </w:rPr>
        <w:t xml:space="preserve">3.14  </w:t>
      </w:r>
      <w:r>
        <w:rPr>
          <w:b/>
          <w:bCs/>
          <w:color w:val="2E74B5"/>
          <w:sz w:val="24"/>
          <w:szCs w:val="24"/>
        </w:rPr>
        <w:t xml:space="preserve">Visual Evidence Notes</w:t>
      </w:r>
    </w:p>
    <w:p>
      <w:pPr>
        <w:spacing w:after="140"/>
      </w:pPr>
      <w:r>
        <w:rPr>
          <w:sz w:val="21"/>
          <w:szCs w:val="21"/>
        </w:rPr>
        <w:t xml:space="preserve">Investigators can annotate a specific region of a photo directly, attach a description/observation, and link that annotation into the graph as an evidence node — connecting visual evidence directly to the rest of the investigation.</w:t>
      </w:r>
    </w:p>
    <w:p>
      <w:pPr>
        <w:spacing w:after="100" w:before="240"/>
      </w:pPr>
      <w:r>
        <w:rPr>
          <w:b/>
          <w:bCs/>
          <w:color w:val="2E74B5"/>
          <w:sz w:val="24"/>
          <w:szCs w:val="24"/>
        </w:rPr>
        <w:t xml:space="preserve">3.15  </w:t>
      </w:r>
      <w:r>
        <w:rPr>
          <w:b/>
          <w:bCs/>
          <w:color w:val="2E74B5"/>
          <w:sz w:val="24"/>
          <w:szCs w:val="24"/>
        </w:rPr>
        <w:t xml:space="preserve">Interrogation Recording &amp; AI Analysis</w:t>
      </w:r>
    </w:p>
    <w:p>
      <w:pPr>
        <w:spacing w:after="140"/>
      </w:pPr>
      <w:r>
        <w:rPr>
          <w:sz w:val="21"/>
          <w:szCs w:val="21"/>
        </w:rPr>
        <w:t xml:space="preserve">Interrogation recordings are transcribed and analyzed by AI to extract statements, names, locations, dates, contradictions, and leads — converted into structured notes and linked into the graph and timeline automatically.</w:t>
      </w:r>
    </w:p>
    <w:p>
      <w:pPr>
        <w:spacing w:after="100" w:before="240"/>
      </w:pPr>
      <w:r>
        <w:rPr>
          <w:b/>
          <w:bCs/>
          <w:color w:val="2E74B5"/>
          <w:sz w:val="24"/>
          <w:szCs w:val="24"/>
        </w:rPr>
        <w:t xml:space="preserve">3.16  </w:t>
      </w:r>
      <w:r>
        <w:rPr>
          <w:b/>
          <w:bCs/>
          <w:color w:val="2E74B5"/>
          <w:sz w:val="24"/>
          <w:szCs w:val="24"/>
        </w:rPr>
        <w:t xml:space="preserve">AI-Based Continuous Clue Discovery</w:t>
      </w:r>
    </w:p>
    <w:p>
      <w:pPr>
        <w:spacing w:after="140"/>
      </w:pPr>
      <w:r>
        <w:rPr>
          <w:sz w:val="21"/>
          <w:szCs w:val="21"/>
        </w:rPr>
        <w:t xml:space="preserve">The core intelligence layer continuously re-analyzes the network as new data arrives (a new document, a new CDR upload, a new interrogation) and surfaces newly discovered connections without the investigator needing to manually re-search.</w:t>
      </w:r>
    </w:p>
    <w:p>
      <w:pPr>
        <w:pStyle w:val="Heading2"/>
        <w:spacing w:after="120" w:before="260"/>
      </w:pPr>
      <w:r>
        <w:rPr>
          <w:b/>
          <w:bCs/>
          <w:color w:val="2E74B5"/>
          <w:sz w:val="26"/>
          <w:szCs w:val="26"/>
        </w:rPr>
        <w:t xml:space="preserve">3.17 End-to-End Flow</w:t>
      </w:r>
    </w:p>
    <w:p>
      <w:pPr>
        <w:shd w:fill="F2F2F2" w:val="clear"/>
        <w:spacing w:after="200"/>
      </w:pPr>
      <w:r>
        <w:rPr>
          <w:i/>
          <w:iCs/>
          <w:color w:val="595959"/>
          <w:sz w:val="19"/>
          <w:szCs w:val="19"/>
        </w:rPr>
        <w:t xml:space="preserve">Login → Create Case → Upload FIR/Victim Docs → OCR/AI Extraction → Victim Profile → Add Suspects (+Entity Resolution) → Bulk-ingest CDRs/Financial Records/SOCMINT → Investigation Graph Built → Key Influencer Analytics + Pattern Detection → AI Notes Generated → Investigator Explores/Expands Graph → Cross-Case Query → Evidence + Crime Scene + Visual Annotations → Interrogation Recordings → AI Extraction → Timeline + Graph Updated → Continuous AI-Assisted Investigation</w:t>
      </w:r>
    </w:p>
    <w:p>
      <w:pPr>
        <w:pStyle w:val="Heading1"/>
        <w:pBdr>
          <w:bottom w:val="single" w:color="7030A0" w:sz="12" w:space="4"/>
        </w:pBdr>
        <w:spacing w:after="160" w:before="360"/>
      </w:pPr>
      <w:r>
        <w:rPr>
          <w:b/>
          <w:bCs/>
          <w:color w:val="7030A0"/>
          <w:sz w:val="32"/>
          <w:szCs w:val="32"/>
        </w:rPr>
        <w:t xml:space="preserve">4. System Architecture</w:t>
      </w:r>
    </w:p>
    <w:p>
      <w:pPr>
        <w:spacing w:after="140"/>
      </w:pPr>
      <w:r>
        <w:rPr>
          <w:sz w:val="21"/>
          <w:szCs w:val="21"/>
        </w:rPr>
        <w:t xml:space="preserve">The system is organized into five layers, each independently scalable: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7030A0"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300"/>
            <w:shd w:fill="7030A0" w:val="clear"/>
            <w:tcMar>
              <w:top w:type="dxa" w:w="80"/>
              <w:left w:type="dxa" w:w="100"/>
              <w:bottom w:type="dxa" w:w="80"/>
              <w:right w:type="dxa" w:w="100"/>
            </w:tcMar>
            <w:vAlign w:val="center"/>
          </w:tcPr>
          <w:p>
            <w:pPr>
              <w:jc w:val="left"/>
            </w:pPr>
            <w:r>
              <w:rPr>
                <w:b/>
                <w:bCs/>
                <w:color w:val="FFFFFF"/>
                <w:sz w:val="20"/>
                <w:szCs w:val="20"/>
              </w:rPr>
              <w:t xml:space="preserve">Function</w:t>
            </w:r>
          </w:p>
        </w:tc>
      </w:tr>
      <w:tr>
        <w:tc>
          <w:tcPr>
            <w:tcW w:type="dxa" w:w="3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Layer 1 — Ingestion</w:t>
            </w:r>
          </w:p>
        </w:tc>
        <w:tc>
          <w:tcPr>
            <w:tcW w:type="dxa" w:w="63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Document/API connectors, OCR, bulk CSV importers (CDR, financial), format normalizer</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Layer 2 — NLP/Extraction</w:t>
            </w:r>
          </w:p>
        </w:tc>
        <w:tc>
          <w:tcPr>
            <w:tcW w:type="dxa" w:w="63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NER (person/org/location/vehicle/phone), relation extraction, entity resolution, event/timeline extraction, interrogation-audio transcription &amp; analysis</w:t>
            </w:r>
          </w:p>
        </w:tc>
      </w:tr>
      <w:tr>
        <w:tc>
          <w:tcPr>
            <w:tcW w:type="dxa" w:w="3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Layer 3 — Knowledge Graph (Neo4j)</w:t>
            </w:r>
          </w:p>
        </w:tc>
        <w:tc>
          <w:tcPr>
            <w:tcW w:type="dxa" w:w="63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Nodes = people/orgs/locations/vehicles/phones/accounts/evidence; Edges = calls, transactions, family, co-location, FIR-links, case-links</w:t>
            </w:r>
          </w:p>
        </w:tc>
      </w:tr>
      <w:tr>
        <w:tc>
          <w:tcPr>
            <w:tcW w:type="dxa" w:w="3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Layer 4 — Analytics &amp; ML</w:t>
            </w:r>
          </w:p>
        </w:tc>
        <w:tc>
          <w:tcPr>
            <w:tcW w:type="dxa" w:w="63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Centrality (degree/betweenness/PageRank), community detection, anomaly/pattern rules, link prediction, LLM-based plain-language insight generation</w:t>
            </w:r>
          </w:p>
        </w:tc>
      </w:tr>
      <w:tr>
        <w:tc>
          <w:tcPr>
            <w:tcW w:type="dxa" w:w="3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Layer 5 — Investigator Application</w:t>
            </w:r>
          </w:p>
        </w:tc>
        <w:tc>
          <w:tcPr>
            <w:tcW w:type="dxa" w:w="63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Case dashboard, graph + timeline UI, evidence/annotation manager, cross-case search, role-based access, audit logs, alerts</w:t>
            </w:r>
          </w:p>
        </w:tc>
      </w:tr>
    </w:tbl>
    <w:p>
      <w:pPr>
        <w:pStyle w:val="Heading1"/>
        <w:pBdr>
          <w:bottom w:val="single" w:color="C55A11" w:sz="12" w:space="4"/>
        </w:pBdr>
        <w:spacing w:after="160" w:before="360"/>
      </w:pPr>
      <w:r>
        <w:rPr>
          <w:b/>
          <w:bCs/>
          <w:color w:val="C55A11"/>
          <w:sz w:val="32"/>
          <w:szCs w:val="32"/>
        </w:rPr>
        <w:t xml:space="preserve">5. Key Differentiators / USP</w:t>
      </w:r>
    </w:p>
    <w:p>
      <w:pPr>
        <w:shd w:fill="FBE5D6" w:val="clear"/>
        <w:spacing w:after="60" w:before="160"/>
      </w:pPr>
      <w:r>
        <w:rPr>
          <w:b/>
          <w:bCs/>
          <w:color w:val="C55A11"/>
          <w:sz w:val="22"/>
          <w:szCs w:val="22"/>
        </w:rPr>
        <w:t xml:space="preserve">USP 1:  </w:t>
      </w:r>
      <w:r>
        <w:rPr>
          <w:b/>
          <w:bCs/>
          <w:color w:val="1A1A1A"/>
          <w:sz w:val="22"/>
          <w:szCs w:val="22"/>
        </w:rPr>
        <w:t xml:space="preserve">Investigator-native UX depth</w:t>
      </w:r>
    </w:p>
    <w:p>
      <w:pPr>
        <w:spacing w:after="140"/>
      </w:pPr>
      <w:r>
        <w:rPr>
          <w:sz w:val="21"/>
          <w:szCs w:val="21"/>
        </w:rPr>
        <w:t xml:space="preserve">The note-driven recursive graph expansion and photo-annotation-to-node linkage mirror how a detective actually thinks and works, not a generic graph visualizer.</w:t>
      </w:r>
    </w:p>
    <w:p>
      <w:pPr>
        <w:shd w:fill="FBE5D6" w:val="clear"/>
        <w:spacing w:after="60" w:before="160"/>
      </w:pPr>
      <w:r>
        <w:rPr>
          <w:b/>
          <w:bCs/>
          <w:color w:val="C55A11"/>
          <w:sz w:val="22"/>
          <w:szCs w:val="22"/>
        </w:rPr>
        <w:t xml:space="preserve">USP 2:  </w:t>
      </w:r>
      <w:r>
        <w:rPr>
          <w:b/>
          <w:bCs/>
          <w:color w:val="1A1A1A"/>
          <w:sz w:val="22"/>
          <w:szCs w:val="22"/>
        </w:rPr>
        <w:t xml:space="preserve">Full unstructured-to-structured pipeline</w:t>
      </w:r>
    </w:p>
    <w:p>
      <w:pPr>
        <w:spacing w:after="140"/>
      </w:pPr>
      <w:r>
        <w:rPr>
          <w:sz w:val="21"/>
          <w:szCs w:val="21"/>
        </w:rPr>
        <w:t xml:space="preserve">Text (FIRs), images (evidence photos), audio (interrogations), CDRs, and financial records all flow into one unified graph — matching every data source category the PS itself lists.</w:t>
      </w:r>
    </w:p>
    <w:p>
      <w:pPr>
        <w:shd w:fill="FBE5D6" w:val="clear"/>
        <w:spacing w:after="60" w:before="160"/>
      </w:pPr>
      <w:r>
        <w:rPr>
          <w:b/>
          <w:bCs/>
          <w:color w:val="C55A11"/>
          <w:sz w:val="22"/>
          <w:szCs w:val="22"/>
        </w:rPr>
        <w:t xml:space="preserve">USP 3:  </w:t>
      </w:r>
      <w:r>
        <w:rPr>
          <w:b/>
          <w:bCs/>
          <w:color w:val="1A1A1A"/>
          <w:sz w:val="22"/>
          <w:szCs w:val="22"/>
        </w:rPr>
        <w:t xml:space="preserve">Explainable, evidence-traceable AI</w:t>
      </w:r>
    </w:p>
    <w:p>
      <w:pPr>
        <w:spacing w:after="140"/>
      </w:pPr>
      <w:r>
        <w:rPr>
          <w:sz w:val="21"/>
          <w:szCs w:val="21"/>
        </w:rPr>
        <w:t xml:space="preserve">Every AI-suggested connection or flagged pattern comes with a plain-language reason attached to the specific node/edge, addressing court-admissibility and black-box-AI concerns up front.</w:t>
      </w:r>
    </w:p>
    <w:p>
      <w:pPr>
        <w:shd w:fill="FBE5D6" w:val="clear"/>
        <w:spacing w:after="60" w:before="160"/>
      </w:pPr>
      <w:r>
        <w:rPr>
          <w:b/>
          <w:bCs/>
          <w:color w:val="C55A11"/>
          <w:sz w:val="22"/>
          <w:szCs w:val="22"/>
        </w:rPr>
        <w:t xml:space="preserve">USP 4:  </w:t>
      </w:r>
      <w:r>
        <w:rPr>
          <w:b/>
          <w:bCs/>
          <w:color w:val="1A1A1A"/>
          <w:sz w:val="22"/>
          <w:szCs w:val="22"/>
        </w:rPr>
        <w:t xml:space="preserve">Case-level UX + Network-level intelligence in one tool</w:t>
      </w:r>
    </w:p>
    <w:p>
      <w:pPr>
        <w:spacing w:after="140"/>
      </w:pPr>
      <w:r>
        <w:rPr>
          <w:sz w:val="21"/>
          <w:szCs w:val="21"/>
        </w:rPr>
        <w:t xml:space="preserve">Investigators keep their familiar per-case workflow, while every entity is silently checked against the entire network — a combination most competing solutions won't attempt simultaneously.</w:t>
      </w:r>
    </w:p>
    <w:p>
      <w:pPr>
        <w:pStyle w:val="Heading1"/>
        <w:pBdr>
          <w:bottom w:val="single" w:color="548235" w:sz="12" w:space="4"/>
        </w:pBdr>
        <w:spacing w:after="160" w:before="360"/>
      </w:pPr>
      <w:r>
        <w:rPr>
          <w:b/>
          <w:bCs/>
          <w:color w:val="548235"/>
          <w:sz w:val="32"/>
          <w:szCs w:val="32"/>
        </w:rPr>
        <w:t xml:space="preserve">6.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548235"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3600"/>
            <w:shd w:fill="548235" w:val="clear"/>
            <w:tcMar>
              <w:top w:type="dxa" w:w="80"/>
              <w:left w:type="dxa" w:w="100"/>
              <w:bottom w:type="dxa" w:w="80"/>
              <w:right w:type="dxa" w:w="100"/>
            </w:tcMar>
            <w:vAlign w:val="center"/>
          </w:tcPr>
          <w:p>
            <w:pPr>
              <w:jc w:val="left"/>
            </w:pPr>
            <w:r>
              <w:rPr>
                <w:b/>
                <w:bCs/>
                <w:color w:val="FFFFFF"/>
                <w:sz w:val="20"/>
                <w:szCs w:val="20"/>
              </w:rPr>
              <w:t xml:space="preserve">Technology</w:t>
            </w:r>
          </w:p>
        </w:tc>
        <w:tc>
          <w:tcPr>
            <w:tcW w:type="dxa" w:w="3700"/>
            <w:shd w:fill="548235" w:val="clear"/>
            <w:tcMar>
              <w:top w:type="dxa" w:w="80"/>
              <w:left w:type="dxa" w:w="100"/>
              <w:bottom w:type="dxa" w:w="80"/>
              <w:right w:type="dxa" w:w="100"/>
            </w:tcMar>
            <w:vAlign w:val="center"/>
          </w:tcPr>
          <w:p>
            <w:pPr>
              <w:jc w:val="left"/>
            </w:pPr>
            <w:r>
              <w:rPr>
                <w:b/>
                <w:bCs/>
                <w:color w:val="FFFFFF"/>
                <w:sz w:val="20"/>
                <w:szCs w:val="20"/>
              </w:rPr>
              <w:t xml:space="preserve">Why</w:t>
            </w:r>
          </w:p>
        </w:tc>
      </w:tr>
      <w:tr>
        <w:tc>
          <w:tcPr>
            <w:tcW w:type="dxa" w:w="2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Frontend</w:t>
            </w:r>
          </w:p>
        </w:tc>
        <w:tc>
          <w:tcPr>
            <w:tcW w:type="dxa" w:w="36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Next.js + Cytoscape.js / Sigma.js</w:t>
            </w:r>
          </w:p>
        </w:tc>
        <w:tc>
          <w:tcPr>
            <w:tcW w:type="dxa" w:w="37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Matches existing stack; strong graph-visualization libraries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Backend/API</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FastAPI (Python)</w:t>
            </w:r>
          </w:p>
        </w:tc>
        <w:tc>
          <w:tcPr>
            <w:tcW w:type="dxa" w:w="37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Async, fast, integrates well with ML/NLP libraries</w:t>
            </w:r>
          </w:p>
        </w:tc>
      </w:tr>
      <w:tr>
        <w:tc>
          <w:tcPr>
            <w:tcW w:type="dxa" w:w="2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Relational DB</w:t>
            </w:r>
          </w:p>
        </w:tc>
        <w:tc>
          <w:tcPr>
            <w:tcW w:type="dxa" w:w="36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PostgreSQL</w:t>
            </w:r>
          </w:p>
        </w:tc>
        <w:tc>
          <w:tcPr>
            <w:tcW w:type="dxa" w:w="37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Case metadata, users, audit logs, evidence file references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Graph DB</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Neo4j + Graph Data Science library</w:t>
            </w:r>
          </w:p>
        </w:tc>
        <w:tc>
          <w:tcPr>
            <w:tcW w:type="dxa" w:w="37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Purpose-built for relationship queries, centrality, community detection at scale</w:t>
            </w:r>
          </w:p>
        </w:tc>
      </w:tr>
      <w:tr>
        <w:tc>
          <w:tcPr>
            <w:tcW w:type="dxa" w:w="2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NLP/NER</w:t>
            </w:r>
          </w:p>
        </w:tc>
        <w:tc>
          <w:tcPr>
            <w:tcW w:type="dxa" w:w="36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spaCy / HuggingFace + Anthropic API</w:t>
            </w:r>
          </w:p>
        </w:tc>
        <w:tc>
          <w:tcPr>
            <w:tcW w:type="dxa" w:w="37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Deterministic extraction + LLM reasoning for messy unstructured text</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OCR</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Tesseract / cloud OCR API</w:t>
            </w:r>
          </w:p>
        </w:tc>
        <w:tc>
          <w:tcPr>
            <w:tcW w:type="dxa" w:w="37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Digitizes scanned FIRs, IDs</w:t>
            </w:r>
          </w:p>
        </w:tc>
      </w:tr>
      <w:tr>
        <w:tc>
          <w:tcPr>
            <w:tcW w:type="dxa" w:w="2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Audio Analysis</w:t>
            </w:r>
          </w:p>
        </w:tc>
        <w:tc>
          <w:tcPr>
            <w:tcW w:type="dxa" w:w="36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Whisper/cloud STT + Anthropic API</w:t>
            </w:r>
          </w:p>
        </w:tc>
        <w:tc>
          <w:tcPr>
            <w:tcW w:type="dxa" w:w="37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Converts interrogation recordings into structured, searchable leads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Anomaly Detection</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Python rule engine + statistical scoring (MVP); ML classifiers (V2)</w:t>
            </w:r>
          </w:p>
        </w:tc>
        <w:tc>
          <w:tcPr>
            <w:tcW w:type="dxa" w:w="37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Fast to build and explain for a demo; extensible later</w:t>
            </w:r>
          </w:p>
        </w:tc>
      </w:tr>
      <w:tr>
        <w:tc>
          <w:tcPr>
            <w:tcW w:type="dxa" w:w="2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Auth</w:t>
            </w:r>
          </w:p>
        </w:tc>
        <w:tc>
          <w:tcPr>
            <w:tcW w:type="dxa" w:w="36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Govt SSO/UKS integration, JWT/session roles</w:t>
            </w:r>
          </w:p>
        </w:tc>
        <w:tc>
          <w:tcPr>
            <w:tcW w:type="dxa" w:w="37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Matches govt authentication requirements</w:t>
            </w:r>
          </w:p>
        </w:tc>
      </w:tr>
      <w:tr>
        <w:tc>
          <w:tcPr>
            <w:tcW w:type="dxa" w:w="2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Infrastructure</w:t>
            </w:r>
          </w:p>
        </w:tc>
        <w:tc>
          <w:tcPr>
            <w:tcW w:type="dxa" w:w="36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Docker + Kubernetes</w:t>
            </w:r>
          </w:p>
        </w:tc>
        <w:tc>
          <w:tcPr>
            <w:tcW w:type="dxa" w:w="37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Independent scaling of ingestion, NLP, and analytics workloads</w:t>
            </w:r>
          </w:p>
        </w:tc>
      </w:tr>
      <w:tr>
        <w:tc>
          <w:tcPr>
            <w:tcW w:type="dxa" w:w="2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Hosting</w:t>
            </w:r>
          </w:p>
        </w:tc>
        <w:tc>
          <w:tcPr>
            <w:tcW w:type="dxa" w:w="36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MeitY/NIC-empanelled cloud or on-prem</w:t>
            </w:r>
          </w:p>
        </w:tc>
        <w:tc>
          <w:tcPr>
            <w:tcW w:type="dxa" w:w="37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Data sovereignty and compliance for law-enforcement data</w:t>
            </w:r>
          </w:p>
        </w:tc>
      </w:tr>
    </w:tbl>
    <w:p>
      <w:pPr>
        <w:pStyle w:val="Heading1"/>
        <w:pBdr>
          <w:bottom w:val="single" w:color="0F6674" w:sz="12" w:space="4"/>
        </w:pBdr>
        <w:spacing w:after="160" w:before="360"/>
      </w:pPr>
      <w:r>
        <w:rPr>
          <w:b/>
          <w:bCs/>
          <w:color w:val="0F6674"/>
          <w:sz w:val="32"/>
          <w:szCs w:val="32"/>
        </w:rPr>
        <w:t xml:space="preserve">7. Scalability</w:t>
      </w:r>
    </w:p>
    <w:p>
      <w:pPr>
        <w:pStyle w:val="Heading2"/>
        <w:spacing w:after="120" w:before="260"/>
      </w:pPr>
      <w:r>
        <w:rPr>
          <w:b/>
          <w:bCs/>
          <w:color w:val="0F6674"/>
          <w:sz w:val="26"/>
          <w:szCs w:val="26"/>
        </w:rPr>
        <w:t xml:space="preserve">Data Volume Scalability</w:t>
      </w:r>
    </w:p>
    <w:p>
      <w:pPr>
        <w:pStyle w:val="ListParagraph"/>
        <w:numPr>
          <w:ilvl w:val="0"/>
          <w:numId w:val="1"/>
        </w:numPr>
        <w:spacing w:after="80"/>
      </w:pPr>
      <w:r>
        <w:rPr>
          <w:sz w:val="21"/>
          <w:szCs w:val="21"/>
        </w:rPr>
        <w:t xml:space="preserve">CDR and financial datasets can run into millions of records per case; ingestion runs as an async, queue-based batch processor so bulk imports never block the application.</w:t>
      </w:r>
    </w:p>
    <w:p>
      <w:pPr>
        <w:pStyle w:val="ListParagraph"/>
        <w:numPr>
          <w:ilvl w:val="0"/>
          <w:numId w:val="1"/>
        </w:numPr>
        <w:spacing w:after="80"/>
      </w:pPr>
      <w:r>
        <w:rPr>
          <w:sz w:val="21"/>
          <w:szCs w:val="21"/>
        </w:rPr>
        <w:t xml:space="preserve">Neo4j supports horizontal read scaling via causal clustering; write-heavy ingestion is buffered through a message queue before being committed to the graph.</w:t>
      </w:r>
    </w:p>
    <w:p>
      <w:pPr>
        <w:pStyle w:val="Heading2"/>
        <w:spacing w:after="120" w:before="260"/>
      </w:pPr>
      <w:r>
        <w:rPr>
          <w:b/>
          <w:bCs/>
          <w:color w:val="0F6674"/>
          <w:sz w:val="26"/>
          <w:szCs w:val="26"/>
        </w:rPr>
        <w:t xml:space="preserve">User / Tenant Scalability</w:t>
      </w:r>
    </w:p>
    <w:p>
      <w:pPr>
        <w:pStyle w:val="ListParagraph"/>
        <w:numPr>
          <w:ilvl w:val="0"/>
          <w:numId w:val="1"/>
        </w:numPr>
        <w:spacing w:after="80"/>
      </w:pPr>
      <w:r>
        <w:rPr>
          <w:sz w:val="21"/>
          <w:szCs w:val="21"/>
        </w:rPr>
        <w:t xml:space="preserve">Multi-tenant design onboards multiple police departments/states as isolated data domains, with strict role- and jurisdiction-based access boundaries.</w:t>
      </w:r>
    </w:p>
    <w:p>
      <w:pPr>
        <w:pStyle w:val="ListParagraph"/>
        <w:numPr>
          <w:ilvl w:val="0"/>
          <w:numId w:val="1"/>
        </w:numPr>
        <w:spacing w:after="80"/>
      </w:pPr>
      <w:r>
        <w:rPr>
          <w:sz w:val="21"/>
          <w:szCs w:val="21"/>
        </w:rPr>
        <w:t xml:space="preserve">Rollout path: pilot with a single district → state-level deployment → optional federal/inter-agency layer with legally governed cross-jurisdiction queries.</w:t>
      </w:r>
    </w:p>
    <w:p>
      <w:pPr>
        <w:pStyle w:val="Heading2"/>
        <w:spacing w:after="120" w:before="260"/>
      </w:pPr>
      <w:r>
        <w:rPr>
          <w:b/>
          <w:bCs/>
          <w:color w:val="0F6674"/>
          <w:sz w:val="26"/>
          <w:szCs w:val="26"/>
        </w:rPr>
        <w:t xml:space="preserve">Functional Scalability</w:t>
      </w:r>
    </w:p>
    <w:p>
      <w:pPr>
        <w:pStyle w:val="ListParagraph"/>
        <w:numPr>
          <w:ilvl w:val="0"/>
          <w:numId w:val="1"/>
        </w:numPr>
        <w:spacing w:after="80"/>
      </w:pPr>
      <w:r>
        <w:rPr>
          <w:sz w:val="21"/>
          <w:szCs w:val="21"/>
        </w:rPr>
        <w:t xml:space="preserve">New data source connectors (a new state's CDR format, a new bank's transaction export) are added as pluggable ingestion adapters, without changing the core graph schema.</w:t>
      </w:r>
    </w:p>
    <w:p>
      <w:pPr>
        <w:pStyle w:val="ListParagraph"/>
        <w:numPr>
          <w:ilvl w:val="0"/>
          <w:numId w:val="1"/>
        </w:numPr>
        <w:spacing w:after="80"/>
      </w:pPr>
      <w:r>
        <w:rPr>
          <w:sz w:val="21"/>
          <w:szCs w:val="21"/>
        </w:rPr>
        <w:t xml:space="preserve">The analytics layer is modular — new detection rules or ML models can be added without redesigning the graph.</w:t>
      </w:r>
    </w:p>
    <w:p>
      <w:pPr>
        <w:pStyle w:val="Heading2"/>
        <w:spacing w:after="120" w:before="260"/>
      </w:pPr>
      <w:r>
        <w:rPr>
          <w:b/>
          <w:bCs/>
          <w:color w:val="0F6674"/>
          <w:sz w:val="26"/>
          <w:szCs w:val="26"/>
        </w:rPr>
        <w:t xml:space="preserve">Computational Scalability</w:t>
      </w:r>
    </w:p>
    <w:p>
      <w:pPr>
        <w:pStyle w:val="ListParagraph"/>
        <w:numPr>
          <w:ilvl w:val="0"/>
          <w:numId w:val="1"/>
        </w:numPr>
        <w:spacing w:after="80"/>
      </w:pPr>
      <w:r>
        <w:rPr>
          <w:sz w:val="21"/>
          <w:szCs w:val="21"/>
        </w:rPr>
        <w:t xml:space="preserve">Centrality/community-detection algorithms run as scheduled batch jobs, cached and refreshed incrementally as new data arrives — not recomputed on every page load.</w:t>
      </w:r>
    </w:p>
    <w:p>
      <w:pPr>
        <w:pStyle w:val="ListParagraph"/>
        <w:numPr>
          <w:ilvl w:val="0"/>
          <w:numId w:val="1"/>
        </w:numPr>
        <w:spacing w:after="80"/>
      </w:pPr>
      <w:r>
        <w:rPr>
          <w:sz w:val="21"/>
          <w:szCs w:val="21"/>
        </w:rPr>
        <w:t xml:space="preserve">LLM-based note generation and audio analysis run as queued, asynchronous jobs so investigators are never blocked waiting.</w:t>
      </w:r>
    </w:p>
    <w:p>
      <w:pPr>
        <w:pStyle w:val="Heading1"/>
        <w:pBdr>
          <w:bottom w:val="single" w:color="A6192E" w:sz="12" w:space="4"/>
        </w:pBdr>
        <w:spacing w:after="160" w:before="360"/>
      </w:pPr>
      <w:r>
        <w:rPr>
          <w:b/>
          <w:bCs/>
          <w:color w:val="A6192E"/>
          <w:sz w:val="32"/>
          <w:szCs w:val="32"/>
        </w:rPr>
        <w:t xml:space="preserve">8. Financial Feasibility</w:t>
      </w:r>
    </w:p>
    <w:p>
      <w:pPr>
        <w:pStyle w:val="Heading2"/>
        <w:spacing w:after="120" w:before="260"/>
      </w:pPr>
      <w:r>
        <w:rPr>
          <w:b/>
          <w:bCs/>
          <w:color w:val="A6192E"/>
          <w:sz w:val="26"/>
          <w:szCs w:val="26"/>
        </w:rPr>
        <w:t xml:space="preserve">Indicative Build Cost (MVP → Pilot-Ready Product)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A6192E"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5300"/>
            <w:shd w:fill="A6192E" w:val="clear"/>
            <w:tcMar>
              <w:top w:type="dxa" w:w="80"/>
              <w:left w:type="dxa" w:w="100"/>
              <w:bottom w:type="dxa" w:w="80"/>
              <w:right w:type="dxa" w:w="100"/>
            </w:tcMar>
            <w:vAlign w:val="center"/>
          </w:tcPr>
          <w:p>
            <w:pPr>
              <w:jc w:val="left"/>
            </w:pPr>
            <w:r>
              <w:rPr>
                <w:b/>
                <w:bCs/>
                <w:color w:val="FFFFFF"/>
                <w:sz w:val="20"/>
                <w:szCs w:val="20"/>
              </w:rPr>
              <w:t xml:space="preserve">Estimate / Notes</w:t>
            </w:r>
          </w:p>
        </w:tc>
      </w:tr>
      <w:tr>
        <w:tc>
          <w:tcPr>
            <w:tcW w:type="dxa" w:w="4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Core dev team (4-6 engineers) for 4-6 months</w:t>
            </w:r>
          </w:p>
        </w:tc>
        <w:tc>
          <w:tcPr>
            <w:tcW w:type="dxa" w:w="53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Primary cost driver — team-months across frontend, backend, ML/NLP, graph</w:t>
            </w:r>
          </w:p>
        </w:tc>
      </w:tr>
      <w:tr>
        <w:tc>
          <w:tcPr>
            <w:tcW w:type="dxa" w:w="4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Cloud infrastructure (dev/staging)</w:t>
            </w:r>
          </w:p>
        </w:tc>
        <w:tc>
          <w:tcPr>
            <w:tcW w:type="dxa" w:w="53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Low during build phase; scales with pilot data volume</w:t>
            </w:r>
          </w:p>
        </w:tc>
      </w:tr>
      <w:tr>
        <w:tc>
          <w:tcPr>
            <w:tcW w:type="dxa" w:w="4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Neo4j (AuraDB or self-hosted)</w:t>
            </w:r>
          </w:p>
        </w:tc>
        <w:tc>
          <w:tcPr>
            <w:tcW w:type="dxa" w:w="53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Free/low tier sufficient for MVP and pilot; scales with graph size in production</w:t>
            </w:r>
          </w:p>
        </w:tc>
      </w:tr>
      <w:tr>
        <w:tc>
          <w:tcPr>
            <w:tcW w:type="dxa" w:w="42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LLM API usage (Anthropic API)</w:t>
            </w:r>
          </w:p>
        </w:tc>
        <w:tc>
          <w:tcPr>
            <w:tcW w:type="dxa" w:w="5300"/>
            <w:shd w:fill="FFFFFF" w:val="clear"/>
            <w:tcMar>
              <w:top w:type="dxa" w:w="80"/>
              <w:left w:type="dxa" w:w="100"/>
              <w:bottom w:type="dxa" w:w="80"/>
              <w:right w:type="dxa" w:w="100"/>
            </w:tcMar>
            <w:vAlign w:val="center"/>
          </w:tcPr>
          <w:p>
            <w:pPr>
              <w:jc w:val="left"/>
            </w:pPr>
            <w:r>
              <w:rPr>
                <w:b w:val="false"/>
                <w:bCs w:val="false"/>
                <w:color w:val="1A1A1A"/>
                <w:sz w:val="20"/>
                <w:szCs w:val="20"/>
              </w:rPr>
              <w:t xml:space="preserve">Usage-based, scales with document/audio volume; manageable at pilot scale</w:t>
            </w:r>
          </w:p>
        </w:tc>
      </w:tr>
      <w:tr>
        <w:tc>
          <w:tcPr>
            <w:tcW w:type="dxa" w:w="42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OCR / Speech-to-text services</w:t>
            </w:r>
          </w:p>
        </w:tc>
        <w:tc>
          <w:tcPr>
            <w:tcW w:type="dxa" w:w="5300"/>
            <w:shd w:fill="F7F7F7" w:val="clear"/>
            <w:tcMar>
              <w:top w:type="dxa" w:w="80"/>
              <w:left w:type="dxa" w:w="100"/>
              <w:bottom w:type="dxa" w:w="80"/>
              <w:right w:type="dxa" w:w="100"/>
            </w:tcMar>
            <w:vAlign w:val="center"/>
          </w:tcPr>
          <w:p>
            <w:pPr>
              <w:jc w:val="left"/>
            </w:pPr>
            <w:r>
              <w:rPr>
                <w:b w:val="false"/>
                <w:bCs w:val="false"/>
                <w:color w:val="1A1A1A"/>
                <w:sz w:val="20"/>
                <w:szCs w:val="20"/>
              </w:rPr>
              <w:t xml:space="preserve">Usage-based, similar scaling profile</w:t>
            </w:r>
          </w:p>
        </w:tc>
      </w:tr>
    </w:tbl>
    <w:p>
      <w:pPr>
        <w:pStyle w:val="Heading2"/>
        <w:spacing w:after="120" w:before="260"/>
      </w:pPr>
      <w:r>
        <w:rPr>
          <w:b/>
          <w:bCs/>
          <w:color w:val="A6192E"/>
          <w:sz w:val="26"/>
          <w:szCs w:val="26"/>
        </w:rPr>
        <w:t xml:space="preserve">Operational Cost Drivers (Post-Pilot, At Scale)</w:t>
      </w:r>
    </w:p>
    <w:p>
      <w:pPr>
        <w:pStyle w:val="ListParagraph"/>
        <w:numPr>
          <w:ilvl w:val="0"/>
          <w:numId w:val="1"/>
        </w:numPr>
        <w:spacing w:after="80"/>
      </w:pPr>
      <w:r>
        <w:rPr>
          <w:sz w:val="21"/>
          <w:szCs w:val="21"/>
        </w:rPr>
        <w:t xml:space="preserve">Cloud/graph-DB hosting scales with number of cases and data volume ingested per month.</w:t>
      </w:r>
    </w:p>
    <w:p>
      <w:pPr>
        <w:pStyle w:val="ListParagraph"/>
        <w:numPr>
          <w:ilvl w:val="0"/>
          <w:numId w:val="1"/>
        </w:numPr>
        <w:spacing w:after="80"/>
      </w:pPr>
      <w:r>
        <w:rPr>
          <w:sz w:val="21"/>
          <w:szCs w:val="21"/>
        </w:rPr>
        <w:t xml:space="preserve">LLM/AI API usage scales with document, audio, and query volume — optimizable by reserving larger models for complex reasoning only.</w:t>
      </w:r>
    </w:p>
    <w:p>
      <w:pPr>
        <w:pStyle w:val="ListParagraph"/>
        <w:numPr>
          <w:ilvl w:val="0"/>
          <w:numId w:val="1"/>
        </w:numPr>
        <w:spacing w:after="80"/>
      </w:pPr>
      <w:r>
        <w:rPr>
          <w:sz w:val="21"/>
          <w:szCs w:val="21"/>
        </w:rPr>
        <w:t xml:space="preserve">Ongoing maintenance and model tuning (small dedicated team) as new data formats and detection patterns are added.</w:t>
      </w:r>
    </w:p>
    <w:p>
      <w:pPr>
        <w:pStyle w:val="Heading2"/>
        <w:spacing w:after="120" w:before="260"/>
      </w:pPr>
      <w:r>
        <w:rPr>
          <w:b/>
          <w:bCs/>
          <w:color w:val="A6192E"/>
          <w:sz w:val="26"/>
          <w:szCs w:val="26"/>
        </w:rPr>
        <w:t xml:space="preserve">Feasibility / ROI Framing</w:t>
      </w:r>
    </w:p>
    <w:p>
      <w:pPr>
        <w:pStyle w:val="ListParagraph"/>
        <w:numPr>
          <w:ilvl w:val="0"/>
          <w:numId w:val="1"/>
        </w:numPr>
        <w:spacing w:after="80"/>
      </w:pPr>
      <w:r>
        <w:rPr>
          <w:sz w:val="21"/>
          <w:szCs w:val="21"/>
        </w:rPr>
        <w:t xml:space="preserve">The comparison isn't against subscription revenue — it's against investigator time saved: manual cross-referencing that takes days can drop to minutes.</w:t>
      </w:r>
    </w:p>
    <w:p>
      <w:pPr>
        <w:pStyle w:val="ListParagraph"/>
        <w:numPr>
          <w:ilvl w:val="0"/>
          <w:numId w:val="1"/>
        </w:numPr>
        <w:spacing w:after="80"/>
      </w:pPr>
      <w:r>
        <w:rPr>
          <w:sz w:val="21"/>
          <w:szCs w:val="21"/>
        </w:rPr>
        <w:t xml:space="preserve">Deployment/funding model: pilot funded via a state police department or MHA modernization budget → scale via existing government cloud empanelment → potential integration with existing platforms (e.g., CCTNS/ICJS) instead of parallel infrastructure.</w:t>
      </w:r>
    </w:p>
    <w:p>
      <w:pPr>
        <w:pStyle w:val="ListParagraph"/>
        <w:numPr>
          <w:ilvl w:val="0"/>
          <w:numId w:val="1"/>
        </w:numPr>
        <w:spacing w:after="80"/>
      </w:pPr>
      <w:r>
        <w:rPr>
          <w:sz w:val="21"/>
          <w:szCs w:val="21"/>
        </w:rPr>
        <w:t xml:space="preserve">Cost-avoidance argument: faster investigations and better evidence linkage reduce prolonged/cold cases — the strongest financial-feasibility case for a law-enforcement tool.</w:t>
      </w:r>
    </w:p>
    <w:p>
      <w:pPr>
        <w:pStyle w:val="Heading1"/>
        <w:pBdr>
          <w:bottom w:val="single" w:color="595959" w:sz="12" w:space="4"/>
        </w:pBdr>
        <w:spacing w:after="160" w:before="360"/>
      </w:pPr>
      <w:r>
        <w:rPr>
          <w:b/>
          <w:bCs/>
          <w:color w:val="595959"/>
          <w:sz w:val="32"/>
          <w:szCs w:val="32"/>
        </w:rPr>
        <w:t xml:space="preserve">9. Data Privacy, Legal &amp; Ethical Considerations</w:t>
      </w:r>
    </w:p>
    <w:p>
      <w:pPr>
        <w:pStyle w:val="ListParagraph"/>
        <w:numPr>
          <w:ilvl w:val="0"/>
          <w:numId w:val="1"/>
        </w:numPr>
        <w:spacing w:after="80"/>
      </w:pPr>
      <w:r>
        <w:rPr>
          <w:sz w:val="21"/>
          <w:szCs w:val="21"/>
        </w:rPr>
        <w:t xml:space="preserve">Role-based access control and full audit logging on every view/edit/query, for chain-of-custody integrity.</w:t>
      </w:r>
    </w:p>
    <w:p>
      <w:pPr>
        <w:pStyle w:val="ListParagraph"/>
        <w:numPr>
          <w:ilvl w:val="0"/>
          <w:numId w:val="1"/>
        </w:numPr>
        <w:spacing w:after="80"/>
      </w:pPr>
      <w:r>
        <w:rPr>
          <w:sz w:val="21"/>
          <w:szCs w:val="21"/>
        </w:rPr>
        <w:t xml:space="preserve">All AI-suggested connections are explainable and traceable to source data — no unexplained black-box scores presented as fact, supporting court admissibility.</w:t>
      </w:r>
    </w:p>
    <w:p>
      <w:pPr>
        <w:pStyle w:val="ListParagraph"/>
        <w:numPr>
          <w:ilvl w:val="0"/>
          <w:numId w:val="1"/>
        </w:numPr>
        <w:spacing w:after="80"/>
      </w:pPr>
      <w:r>
        <w:rPr>
          <w:sz w:val="21"/>
          <w:szCs w:val="21"/>
        </w:rPr>
        <w:t xml:space="preserve">Cross-jurisdiction or cross-agency data access is governed by explicit legal/data-sharing permissions built into the access model, not assumed by default.</w:t>
      </w:r>
    </w:p>
    <w:p>
      <w:pPr>
        <w:pStyle w:val="ListParagraph"/>
        <w:numPr>
          <w:ilvl w:val="0"/>
          <w:numId w:val="1"/>
        </w:numPr>
        <w:spacing w:after="80"/>
      </w:pPr>
      <w:r>
        <w:rPr>
          <w:sz w:val="21"/>
          <w:szCs w:val="21"/>
        </w:rPr>
        <w:t xml:space="preserve">Sensitive data (victim identity, financial records) encrypted at rest and in transit; deployment on government-empanelled or on-prem infrastructure for data sovereignty.</w:t>
      </w:r>
    </w:p>
    <w:p>
      <w:pPr>
        <w:pStyle w:val="Heading1"/>
        <w:pBdr>
          <w:bottom w:val="single" w:color="E36C09" w:sz="12" w:space="4"/>
        </w:pBdr>
        <w:spacing w:after="160" w:before="360"/>
      </w:pPr>
      <w:r>
        <w:rPr>
          <w:b/>
          <w:bCs/>
          <w:color w:val="E36C09"/>
          <w:sz w:val="32"/>
          <w:szCs w:val="32"/>
        </w:rPr>
        <w:t xml:space="preserve">10. MVP Scope vs. Full Roadmap</w:t>
      </w:r>
    </w:p>
    <w:p>
      <w:pPr>
        <w:pStyle w:val="Heading2"/>
        <w:spacing w:after="120" w:before="260"/>
      </w:pPr>
      <w:r>
        <w:rPr>
          <w:b/>
          <w:bCs/>
          <w:color w:val="E36C09"/>
          <w:sz w:val="26"/>
          <w:szCs w:val="26"/>
        </w:rPr>
        <w:t xml:space="preserve">MVP (Hackathon / Pilot-Ready)</w:t>
      </w:r>
    </w:p>
    <w:p>
      <w:pPr>
        <w:spacing w:after="140"/>
      </w:pPr>
      <w:r>
        <w:rPr>
          <w:sz w:val="21"/>
          <w:szCs w:val="21"/>
        </w:rPr>
        <w:t xml:space="preserve">Case workflow (3.1–3.6, 3.9–3.15) + Key Influencer Analytics (3.7) + 2-3 Suspicious Pattern detectors (3.8) + basic Cross-Case Query (3.11) on a synthetic multi-case dataset.</w:t>
      </w:r>
    </w:p>
    <w:p>
      <w:pPr>
        <w:pStyle w:val="Heading2"/>
        <w:spacing w:after="120" w:before="260"/>
      </w:pPr>
      <w:r>
        <w:rPr>
          <w:b/>
          <w:bCs/>
          <w:color w:val="E36C09"/>
          <w:sz w:val="26"/>
          <w:szCs w:val="26"/>
        </w:rPr>
        <w:t xml:space="preserve">Full Roadmap (Post-Pilot)</w:t>
      </w:r>
    </w:p>
    <w:p>
      <w:pPr>
        <w:spacing w:after="140"/>
      </w:pPr>
      <w:r>
        <w:rPr>
          <w:sz w:val="21"/>
          <w:szCs w:val="21"/>
        </w:rPr>
        <w:t xml:space="preserve">Live CDR/bank/SOCMINT API integrations, criminal-history-DB integration, predictive link discovery, inter-agency federated data sharing, advanced audio intelligence, automated cross-case timeline generation.</w:t>
      </w:r>
    </w:p>
    <w:p>
      <w:pPr>
        <w:pStyle w:val="Heading1"/>
        <w:pBdr>
          <w:bottom w:val="single" w:color="1F4E79" w:sz="12" w:space="4"/>
        </w:pBdr>
        <w:spacing w:after="160" w:before="360"/>
      </w:pPr>
      <w:r>
        <w:rPr>
          <w:b/>
          <w:bCs/>
          <w:color w:val="1F4E79"/>
          <w:sz w:val="32"/>
          <w:szCs w:val="32"/>
        </w:rPr>
        <w:t xml:space="preserve">11. Conclusion</w:t>
      </w:r>
    </w:p>
    <w:p>
      <w:pPr>
        <w:spacing w:after="140"/>
      </w:pPr>
      <w:r>
        <w:rPr>
          <w:sz w:val="21"/>
          <w:szCs w:val="21"/>
        </w:rPr>
        <w:t xml:space="preserve">This system moves investigation from a document-driven, per-case process to a connected, network-aware intelligence workflow — without asking investigators to abandon the case-centric way they already work. By combining a strong investigator-facing UX with real network analytics (key-influencer detection, suspicious-pattern detection, and cross-case querying), the solution directly answers every core requirement in the problem statement while remaining buildable, explainable, and deployable within a realistic government technology environment.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2026-09-06T07:52:22.555Z</dcterms:created>
  <dcterms:modified xsi:type="dcterms:W3CDTF">2026-09-06T07:52:22.568Z</dcterms:modified>
</cp:coreProperties>
</file>

<file path=docProps/custom.xml><?xml version="1.0" encoding="utf-8"?>
<Properties xmlns="http://schemas.openxmlformats.org/officeDocument/2006/custom-properties" xmlns:vt="http://schemas.openxmlformats.org/officeDocument/2006/docPropsVTypes"/>
</file>